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53C09" w14:textId="5E7DAD46" w:rsidR="00530B5F" w:rsidRPr="009363AC" w:rsidRDefault="00CF4076">
      <w:pPr>
        <w:rPr>
          <w:rFonts w:ascii="Times New Roman" w:hAnsi="Times New Roman" w:cs="Times New Roman"/>
          <w:b/>
        </w:rPr>
      </w:pPr>
      <w:r w:rsidRPr="00CF32E7">
        <w:rPr>
          <w:b/>
          <w:lang w:val="de"/>
        </w:rPr>
        <w:t>Teilnehmer</w:t>
      </w:r>
    </w:p>
    <w:p w14:paraId="78AD2B9D" w14:textId="77777777" w:rsidR="00CF4076" w:rsidRPr="009363AC" w:rsidRDefault="00CF4076">
      <w:pPr>
        <w:rPr>
          <w:rFonts w:ascii="Times New Roman" w:hAnsi="Times New Roman" w:cs="Times New Roman"/>
        </w:rPr>
      </w:pPr>
      <w:r w:rsidRPr="00CF4076">
        <w:rPr>
          <w:lang w:val="de"/>
        </w:rPr>
        <w:t>Daten von N = 72 Patienten mit</w:t>
      </w:r>
      <w:r>
        <w:rPr>
          <w:lang w:val="de"/>
        </w:rPr>
        <w:t>Schiz-Ophrenie und N = 75 gesunde Kontrollen wurden vom Center for Biomedical Research Excellence (COBRE) über das Projekt 1000 functional connectomes (</w:t>
      </w:r>
      <w:hyperlink r:id="rId4" w:history="1">
        <w:r w:rsidRPr="001F4317">
          <w:rPr>
            <w:rStyle w:val="Hyperlink"/>
            <w:lang w:val="de"/>
          </w:rPr>
          <w:t>http://fcon_1000.projects.nitrc.org/indi/retro/cobre.html</w:t>
        </w:r>
      </w:hyperlink>
      <w:r>
        <w:rPr>
          <w:lang w:val="de"/>
        </w:rPr>
        <w:t xml:space="preserve">) bezogen. Die Daten wurden unter der Creative Commons License: Attribution Non-Commercial verarbeitet. Die Diagnosen wurden mit dem strukturierten klinischen Interview für DSM-Erkrankungen (SCID) bestätigt. Alle Teilnehmer wurden untersucht, um eine Geschichte der neurologischen Störung, Geschichte der psychischen Retardierung, Geschichte der schweren Kopftrauma (&gt; 5 Minuten Verlust des Bewusstseins), Geschichte des Drogenmissbrauchs oder Abhängigkeit innerhalb der letzten zwölf Monate auszuschließen. Vor der Studieneinschreibung wurde von allen Teilnehmern eine schriftliche Schriftliche Zustimmung eingeholt. Alle Verfahren wurden von den zuständigen Ethik-Prüfungsausschüssen der University of New Mexico überprüft und genehmigt. </w:t>
      </w:r>
    </w:p>
    <w:p w14:paraId="266F1A1A" w14:textId="77777777" w:rsidR="00CF4076" w:rsidRPr="009363AC" w:rsidRDefault="00CF4076">
      <w:pPr>
        <w:rPr>
          <w:rFonts w:ascii="Times New Roman" w:hAnsi="Times New Roman" w:cs="Times New Roman"/>
        </w:rPr>
      </w:pPr>
    </w:p>
    <w:p w14:paraId="0F4918DC" w14:textId="77777777" w:rsidR="00CF4076" w:rsidRPr="009363AC" w:rsidRDefault="00CF4076">
      <w:pPr>
        <w:rPr>
          <w:rFonts w:ascii="Times New Roman" w:hAnsi="Times New Roman" w:cs="Times New Roman"/>
          <w:b/>
        </w:rPr>
      </w:pPr>
      <w:r>
        <w:rPr>
          <w:b/>
          <w:lang w:val="de"/>
        </w:rPr>
        <w:t>Bildaufnahme</w:t>
      </w:r>
    </w:p>
    <w:p w14:paraId="024B795B" w14:textId="77777777" w:rsidR="00CF4076" w:rsidRPr="009363AC" w:rsidRDefault="00CF4076">
      <w:pPr>
        <w:rPr>
          <w:rFonts w:ascii="Times New Roman" w:hAnsi="Times New Roman" w:cs="Times New Roman"/>
        </w:rPr>
      </w:pPr>
      <w:r>
        <w:rPr>
          <w:lang w:val="de"/>
        </w:rPr>
        <w:t xml:space="preserve">Detaillierte Erfassungsparameter finden Sie auf der Projektwebsite. Zu den </w:t>
      </w:r>
      <w:r w:rsidR="00C613A5">
        <w:rPr>
          <w:lang w:val="de"/>
        </w:rPr>
        <w:t xml:space="preserve">Bilddaten gehörten ein Multi-Echo MPRAGE T1-gewichtetes Strukturbild und ein ECHO-planar imaging (EPI) Ruhezustands-Scan mit einer Zeit zu wiederholen (TR) von 2 Sekunden, Echozeit (TE) von 29 </w:t>
      </w:r>
      <w:r>
        <w:rPr>
          <w:lang w:val="de"/>
        </w:rPr>
        <w:t xml:space="preserve"> </w:t>
      </w:r>
      <w:r w:rsidR="00C613A5">
        <w:rPr>
          <w:lang w:val="de"/>
        </w:rPr>
        <w:t>ms,3 * 3 * 4 mm Voxelgröße und 150 erworbenen gesamten Gehirnvolumen.</w:t>
      </w:r>
    </w:p>
    <w:p w14:paraId="247B4BD6" w14:textId="77777777" w:rsidR="00C613A5" w:rsidRPr="009363AC" w:rsidRDefault="00C613A5">
      <w:pPr>
        <w:rPr>
          <w:rFonts w:ascii="Times New Roman" w:hAnsi="Times New Roman" w:cs="Times New Roman"/>
        </w:rPr>
      </w:pPr>
    </w:p>
    <w:p w14:paraId="291917EE" w14:textId="77777777" w:rsidR="00C613A5" w:rsidRDefault="00076ED8">
      <w:pPr>
        <w:rPr>
          <w:rFonts w:ascii="Times New Roman" w:hAnsi="Times New Roman" w:cs="Times New Roman"/>
          <w:b/>
          <w:lang w:val="en-US"/>
        </w:rPr>
      </w:pPr>
      <w:r w:rsidRPr="00076ED8">
        <w:rPr>
          <w:b/>
          <w:lang w:val="de"/>
        </w:rPr>
        <w:t>Vorverarbeitung</w:t>
      </w:r>
    </w:p>
    <w:p w14:paraId="42B7BF02" w14:textId="77777777" w:rsidR="00076ED8" w:rsidRPr="009363AC" w:rsidRDefault="00076ED8">
      <w:pPr>
        <w:rPr>
          <w:rFonts w:ascii="Times New Roman" w:hAnsi="Times New Roman" w:cs="Times New Roman"/>
        </w:rPr>
      </w:pPr>
      <w:r>
        <w:rPr>
          <w:lang w:val="de"/>
        </w:rPr>
        <w:t xml:space="preserve">Ruhezustands-Zeitreihen wurden mit Softwarecode aus der FMRIB Software Library (FSL) verarbeitet, wie zuvor beschrieben </w:t>
      </w:r>
      <w:r>
        <w:rPr>
          <w:lang w:val="de"/>
        </w:rPr>
        <w:fldChar w:fldCharType="begin"/>
      </w:r>
      <w:r>
        <w:rPr>
          <w:lang w:val="de"/>
        </w:rPr>
        <w:instrText xml:space="preserve"> ADDIN ZOTERO_ITEM CSL_CITATION {"citationID":"lETCkuYQ","properties":{"formattedCitation":"(Deris et al., 2017; Zimmermann et al., 2018)","plainCitation":"(Deris et al., 2017; Zimmermann et al., 2018)","noteIndex":0},"citationItems":[{"id":4848,"uris":["http://zotero.org/users/4743313/items/6C7QJKQI"],"uri":["http://zotero.org/users/4743313/items/6C7QJKQI"],"itemData":{"id":4848,"type":"article-journal","container-title":"NeuroImage","DOI":"10.1016/j.neuroimage.2016.11.063","ISSN":"10538119","language":"en","page":"423-431","source":"CrossRef","title":"Functional connectivity in the resting brain as biological correlate of the Affective Neuroscience Personality Scales","volume":"147","author":[{"family":"Deris","given":"Nadja"},{"family":"Montag","given":"Christian"},{"family":"Reuter","given":"Martin"},{"family":"Weber","given":"Bernd"},{"family":"Markett","given":"Sebastian"}],"issued":{"date-parts":[["2017",2]]}}},{"id":5889,"uris":["http://zotero.org/users/4743313/items/5DRUZCBN"],"uri":["http://zotero.org/users/4743313/items/5DRUZCBN"],"itemData":{"id":5889,"type":"article-journal","abstract":"Across species, the neuropeptide oxytocin has been associated with afﬁliative and social approach behavior. It has been suggested to exert its effects by modulating neural circuitry underlying anxiety, afﬁliative motivation, and social salience. The present study aims to investigate differences in subregional amygdala resting-state connectivity in healthy adult carriers of different genotypes of the oxytocin receptor (OXTR) gene polymorphism rs2268498. Previous studies have associated this polymorphic locus with social cognitive and afﬁliative phenotypes. The amygdala qualiﬁes as a reasonable target due to its broad implication in emotional and social cognitive processing as well as its key role in mediating the behavioral effects of oxytocin. Whole brain seed-based functional connectivity analyses for the basolateral, centromedial and superﬁcial amygdala revealed stronger restingstate connectivity of all amygdala subregions to the fusiform and inferior occipital gyrus in TT-carriers compared to C-allele carriers. Additional modulations were found for the centromedial amygdala which showed stronger resting-state connectivity to inferior frontal regions and the insula in C-allele carriers and to brainstem regions in TT-carriers. Our ﬁndings not only show the importance of oxytocin functioning in amygdalar neuronal signaling but also emphasize the need to investigate the amygdalar subregions individually instead of the amygdala as a whole. In summary, the present study is the ﬁrst to characterize the impact of genetic variation of the OXTR gene with known functional consequences on widespread changes in a functional brain network originating from the amygdala.","container-title":"NeuroImage","DOI":"10.1016/j.neuroimage.2018.06.014","ISSN":"10538119","language":"en","page":"1-10","source":"Crossref","title":"A common polymorphism on the oxytocin receptor gene (rs2268498) and resting-state functional connectivity of amygdala subregions - A genetic imaging study","volume":"179","author":[{"family":"Zimmermann","given":"Julika"},{"family":"Deris","given":"Nadja"},{"family":"Montag","given":"Christian"},{"family":"Reuter","given":"Martin"},{"family":"Felten","given":"Andrea"},{"family":"Becker","given":"Benjamin"},{"family":"Weber","given":"Bernd"},{"family":"Markett","given":"Sebastian"}],"issued":{"date-parts":[["2018",10]]}}}],"schema":"https://github.com/citation-style-language/schema/raw/master/csl-citation.json"} </w:instrText>
      </w:r>
      <w:r>
        <w:rPr>
          <w:lang w:val="de"/>
        </w:rPr>
        <w:fldChar w:fldCharType="separate"/>
      </w:r>
      <w:r>
        <w:rPr>
          <w:noProof/>
          <w:lang w:val="de"/>
        </w:rPr>
        <w:t>(Deris et al., 2017; Zimmermann et al., 2018)</w:t>
      </w:r>
      <w:r>
        <w:rPr>
          <w:lang w:val="de"/>
        </w:rPr>
        <w:fldChar w:fldCharType="end"/>
      </w:r>
      <w:r>
        <w:rPr>
          <w:lang w:val="de"/>
        </w:rPr>
        <w:t xml:space="preserve">. Kurz gesagt, ruhende Zustandsdaten wurden gehirnextrahiert, Kopfbewegung korrigiert, räumlich geglättet mit einem 5 mm Gaußschen Kern und Intensität normalisiert. Zusätzliche Bewegungsreinigung wurde mit ICA-AROMA durchgeführt  </w:t>
      </w:r>
      <w:r>
        <w:rPr>
          <w:lang w:val="de"/>
        </w:rPr>
        <w:fldChar w:fldCharType="begin"/>
      </w:r>
      <w:r>
        <w:rPr>
          <w:lang w:val="de"/>
        </w:rPr>
        <w:instrText xml:space="preserve"> ADDIN ZOTERO_ITEM CSL_CITATION {"citationID":"Vc5p7ImD","properties":{"formattedCitation":"(Pruim et al., 2015)","plainCitation":"(Pruim et al., 2015)","noteIndex":0},"citationItems":[{"id":2747,"uris":["http://zotero.org/users/4743313/items/Z6NEXR8A"],"uri":["http://zotero.org/users/4743313/items/Z6NEXR8A"],"itemData":{"id":2747,"type":"article-journal","abstract":"Head motion during functional MRI (fMRI) scanning can induce spurious findings and/or harm detection of true effects. Solutions have been proposed, including deleting (‘scrubbing’) or regressing out (‘spike regression’) motion volumes from fMRI time-series. These strategies remove motion-induced signal variations at the cost of destroying the autocorrelation structure of the fMRI time-series and reducing temporal degrees of freedom. ICA-based fMRI denoising strategies overcome these drawbacks but typically require re-training of a classifier, needing manual labeling of derived components (e.g. ICA-FIX; Salimi-Khorshidi et al. (2014)). Here, we propose an ICA-based strategy for Automatic Removal of Motion Artifacts (ICA-AROMA) that uses a small (n = 4), but robust set of theoretically motivated temporal and spatial features. Our strategy does not require classifier re-training, retains the data's autocorrelation structure and largely preserves temporal degrees of freedom. We describe ICA-AROMA, its implementation, and initial validation. ICA-AROMA identified motion components with high accuracy and robustness as illustrated by leave-N-out cross-validation. We additionally validated ICA-AROMA in resting-state (100 participants) and task-based fMRI data (118 participants). Our approach removed (motion-related) spurious noise from both rfMRI and task-based fMRI data to larger extent than regression using 24 motion parameters or spike regression. Furthermore, ICA-AROMA increased sensitivity to group-level activation. Our results show that ICA-AROMA effectively reduces motion-induced signal variations in fMRI data, is applicable across datasets without requiring classifier re-training, and preserves the temporal characteristics of the fMRI data.","container-title":"NeuroImage","DOI":"10.1016/j.neuroimage.2015.02.064","ISSN":"1053-8119","journalAbbreviation":"NeuroImage","page":"267-277","source":"ScienceDirect","title":"ICA-AROMA: A robust ICA-based strategy for removing motion artifacts from fMRI data","title-short":"ICA-AROMA","volume":"112","author":[{"family":"Pruim","given":"Raimon H. R."},{"family":"Mennes","given":"Maarten"},{"family":"Rooij","given":"Daan","non-dropping-particle":"van"},{"family":"Llera","given":"Alberto"},{"family":"Buitelaar","given":"Jan K."},{"family":"Beckmann","given":"Christian F."}],"issued":{"date-parts":[["2015",5,15]]}}}],"schema":"https://github.com/citation-style-language/schema/raw/master/csl-citation.json"} </w:instrText>
      </w:r>
      <w:r>
        <w:rPr>
          <w:lang w:val="de"/>
        </w:rPr>
        <w:fldChar w:fldCharType="separate"/>
      </w:r>
      <w:r>
        <w:rPr>
          <w:noProof/>
          <w:lang w:val="de"/>
        </w:rPr>
        <w:t>(Pruim et al., 2015)</w:t>
      </w:r>
      <w:r>
        <w:rPr>
          <w:lang w:val="de"/>
        </w:rPr>
        <w:fldChar w:fldCharType="end"/>
      </w:r>
      <w:r>
        <w:rPr>
          <w:lang w:val="de"/>
        </w:rPr>
        <w:t xml:space="preserve">. Mittlere Signale aus weißer Materie und Zerebrospinalflüssigkeiten  </w:t>
      </w:r>
      <w:r w:rsidR="00C95D63">
        <w:rPr>
          <w:lang w:val="de"/>
        </w:rPr>
        <w:t xml:space="preserve">wurden aus der Zeitreihe zurückgesetzt und ein Hochpassfilter von 0,01 </w:t>
      </w:r>
      <w:r>
        <w:rPr>
          <w:lang w:val="de"/>
        </w:rPr>
        <w:t xml:space="preserve"> </w:t>
      </w:r>
      <w:proofErr w:type="spellStart"/>
      <w:r w:rsidR="00C95D63">
        <w:rPr>
          <w:lang w:val="de"/>
        </w:rPr>
        <w:t>hz</w:t>
      </w:r>
      <w:proofErr w:type="spellEnd"/>
      <w:r>
        <w:rPr>
          <w:lang w:val="de"/>
        </w:rPr>
        <w:t xml:space="preserve"> </w:t>
      </w:r>
      <w:r w:rsidR="00C95D63">
        <w:rPr>
          <w:lang w:val="de"/>
        </w:rPr>
        <w:t xml:space="preserve"> angewendet, um niederfrequentes Rauschen zu entfernen.</w:t>
      </w:r>
      <w:r>
        <w:rPr>
          <w:lang w:val="de"/>
        </w:rPr>
        <w:t xml:space="preserve"> </w:t>
      </w:r>
      <w:proofErr w:type="gramStart"/>
      <w:r w:rsidR="00C95D63">
        <w:rPr>
          <w:lang w:val="de"/>
        </w:rPr>
        <w:t>Um</w:t>
      </w:r>
      <w:r>
        <w:rPr>
          <w:lang w:val="de"/>
        </w:rPr>
        <w:t xml:space="preserve"> </w:t>
      </w:r>
      <w:r w:rsidR="00C95D63">
        <w:rPr>
          <w:lang w:val="de"/>
        </w:rPr>
        <w:t xml:space="preserve"> einzelne</w:t>
      </w:r>
      <w:proofErr w:type="gramEnd"/>
      <w:r w:rsidR="00C95D63">
        <w:rPr>
          <w:lang w:val="de"/>
        </w:rPr>
        <w:t xml:space="preserve"> Ruhezustandsdaten mit Artefaktvorlagen in ICA-AROMA abzugleichen, wurden die Daten mit nichtlinearen Transformationen im FsL FNIRT räumlich normalisiert. Alle Analysen wurden jedoch im heimischen Raum durchgeführt. </w:t>
      </w:r>
    </w:p>
    <w:p w14:paraId="1E277663" w14:textId="06A1BCA0" w:rsidR="00C95D63" w:rsidRPr="009363AC" w:rsidRDefault="00C95D63">
      <w:pPr>
        <w:rPr>
          <w:rFonts w:ascii="Times New Roman" w:hAnsi="Times New Roman" w:cs="Times New Roman"/>
        </w:rPr>
      </w:pPr>
      <w:r>
        <w:rPr>
          <w:lang w:val="de"/>
        </w:rPr>
        <w:t xml:space="preserve">Strukturelle Daten wurden über </w:t>
      </w:r>
      <w:proofErr w:type="spellStart"/>
      <w:r>
        <w:rPr>
          <w:lang w:val="de"/>
        </w:rPr>
        <w:t>Freesurfer</w:t>
      </w:r>
      <w:proofErr w:type="spellEnd"/>
      <w:r>
        <w:rPr>
          <w:lang w:val="de"/>
        </w:rPr>
        <w:t xml:space="preserve">  (</w:t>
      </w:r>
      <w:hyperlink r:id="rId5" w:history="1">
        <w:r w:rsidRPr="001F4317">
          <w:rPr>
            <w:rStyle w:val="Hyperlink"/>
            <w:lang w:val="de"/>
          </w:rPr>
          <w:t>https://surfer.nmr.mgh.harvard.edu</w:t>
        </w:r>
      </w:hyperlink>
      <w:r>
        <w:rPr>
          <w:lang w:val="de"/>
        </w:rPr>
        <w:t xml:space="preserve">) geführt und das kortikale Blatt wurde nach </w:t>
      </w:r>
      <w:proofErr w:type="spellStart"/>
      <w:r>
        <w:rPr>
          <w:lang w:val="de"/>
        </w:rPr>
        <w:t>Freesurfers</w:t>
      </w:r>
      <w:proofErr w:type="spellEnd"/>
      <w:r>
        <w:rPr>
          <w:lang w:val="de"/>
        </w:rPr>
        <w:t xml:space="preserve">  </w:t>
      </w:r>
      <w:proofErr w:type="spellStart"/>
      <w:r>
        <w:rPr>
          <w:lang w:val="de"/>
        </w:rPr>
        <w:t>Desikan</w:t>
      </w:r>
      <w:proofErr w:type="spellEnd"/>
      <w:r>
        <w:rPr>
          <w:lang w:val="de"/>
        </w:rPr>
        <w:t xml:space="preserve">  </w:t>
      </w:r>
      <w:proofErr w:type="spellStart"/>
      <w:r>
        <w:rPr>
          <w:lang w:val="de"/>
        </w:rPr>
        <w:t>Killiany</w:t>
      </w:r>
      <w:proofErr w:type="spellEnd"/>
      <w:r>
        <w:rPr>
          <w:lang w:val="de"/>
        </w:rPr>
        <w:t xml:space="preserve">  Atlas  </w:t>
      </w:r>
      <w:r>
        <w:rPr>
          <w:noProof/>
          <w:lang w:val="de"/>
        </w:rPr>
        <w:t>(Desikan et al., 2006)</w:t>
      </w:r>
      <w:r>
        <w:rPr>
          <w:lang w:val="de"/>
        </w:rPr>
        <w:t>in 6</w:t>
      </w:r>
      <w:r w:rsidR="00CF32E7">
        <w:rPr>
          <w:lang w:val="de"/>
        </w:rPr>
        <w:t>8</w:t>
      </w:r>
      <w:r>
        <w:rPr>
          <w:lang w:val="de"/>
        </w:rPr>
        <w:t xml:space="preserve">  Interessengebiete </w:t>
      </w:r>
      <w:r>
        <w:rPr>
          <w:lang w:val="de"/>
        </w:rPr>
        <w:fldChar w:fldCharType="begin"/>
      </w:r>
      <w:r>
        <w:rPr>
          <w:lang w:val="de"/>
        </w:rPr>
        <w:instrText xml:space="preserve"> ADDIN ZOTERO_ITEM CSL_CITATION {"citationID":"YNfz5u4T","properties":{"formattedCitation":"(Desikan et al., 2006)","plainCitation":"(Desikan et al., 2006)","noteIndex":0},"citationItems":[{"id":6684,"uris":["http://zotero.org/users/4743313/items/3XKCHBPG"],"uri":["http://zotero.org/users/4743313/items/3XKCHBPG"],"itemData":{"id":6684,"type":"article-journal","container-title":"NeuroImage","DOI":"10.1016/j.neuroimage.2006.01.021","ISSN":"10538119","issue":"3","language":"en","page":"968-980","source":"Crossref","title":"An automated labeling system for subdividing the human cerebral cortex on MRI scans into gyral based regions of interest","volume":"31","author":[{"family":"Desikan","given":"Rahul S."},{"family":"Ségonne","given":"Florent"},{"family":"Fischl","given":"Bruce"},{"family":"Quinn","given":"Brian T."},{"family":"Dickerson","given":"Bradford C."},{"family":"Blacker","given":"Deborah"},{"family":"Buckner","given":"Randy L."},{"family":"Dale","given":"Anders M."},{"family":"Maguire","given":"R. Paul"},{"family":"Hyman","given":"Bradley T."},{"family":"Albert","given":"Marilyn S."},{"family":"Killiany","given":"Ronald J."}],"issued":{"date-parts":[["2006",7]]}}}],"schema":"https://github.com/citation-style-language/schema/raw/master/csl-citation.json"} </w:instrText>
      </w:r>
      <w:r>
        <w:rPr>
          <w:lang w:val="de"/>
        </w:rPr>
        <w:fldChar w:fldCharType="separate"/>
      </w:r>
      <w:r>
        <w:rPr>
          <w:lang w:val="de"/>
        </w:rPr>
        <w:t>segmentiert.</w:t>
      </w:r>
      <w:r>
        <w:rPr>
          <w:lang w:val="de"/>
        </w:rPr>
        <w:fldChar w:fldCharType="end"/>
      </w:r>
      <w:r>
        <w:rPr>
          <w:lang w:val="de"/>
        </w:rPr>
        <w:t xml:space="preserve"> </w:t>
      </w:r>
      <w:r w:rsidR="005A61D7">
        <w:rPr>
          <w:lang w:val="de"/>
        </w:rPr>
        <w:t>Mittlere Zeitreihen wurden aus den vorverarbeiteten Ruhezustandsdaten für jeden ROI extrahiert.</w:t>
      </w:r>
    </w:p>
    <w:p w14:paraId="6AF57274" w14:textId="77777777" w:rsidR="00ED0978" w:rsidRPr="009363AC" w:rsidRDefault="00ED0978">
      <w:pPr>
        <w:rPr>
          <w:rFonts w:ascii="Times New Roman" w:hAnsi="Times New Roman" w:cs="Times New Roman"/>
        </w:rPr>
      </w:pPr>
    </w:p>
    <w:p w14:paraId="6534B8B6" w14:textId="77777777" w:rsidR="00ED0978" w:rsidRDefault="00A13B9E">
      <w:pPr>
        <w:rPr>
          <w:rFonts w:ascii="Times New Roman" w:hAnsi="Times New Roman" w:cs="Times New Roman"/>
          <w:b/>
          <w:lang w:val="en-US"/>
        </w:rPr>
      </w:pPr>
      <w:r w:rsidRPr="00A13B9E">
        <w:rPr>
          <w:b/>
          <w:lang w:val="de"/>
        </w:rPr>
        <w:t xml:space="preserve">Qualitätssicherung </w:t>
      </w:r>
    </w:p>
    <w:p w14:paraId="329EFF9A" w14:textId="77777777" w:rsidR="00A13B9E" w:rsidRPr="009363AC" w:rsidRDefault="0017028B">
      <w:pPr>
        <w:rPr>
          <w:rFonts w:ascii="Times New Roman" w:hAnsi="Times New Roman" w:cs="Times New Roman"/>
        </w:rPr>
      </w:pPr>
      <w:r>
        <w:rPr>
          <w:lang w:val="de"/>
        </w:rPr>
        <w:t>N = 14 p</w:t>
      </w:r>
      <w:r w:rsidR="00A13B9E">
        <w:rPr>
          <w:lang w:val="de"/>
        </w:rPr>
        <w:t>Articipants mit übermäßigen Kopfbewegungen wurden von der weiteren Analyse ausgeschlossen. Wir identifizierten Teilnehmer mit hoher mittlerer absoluter Kopfbewegung (n = 11 Teilnehmer, datengesteuerter Cutoff mit Tukey-Scharnieren, entsprechend einer Bewegungsschwelle von &gt; 0,839 mm</w:t>
      </w:r>
      <w:proofErr w:type="gramStart"/>
      <w:r w:rsidR="00A13B9E">
        <w:rPr>
          <w:lang w:val="de"/>
        </w:rPr>
        <w:t>)</w:t>
      </w:r>
      <w:r>
        <w:rPr>
          <w:lang w:val="de"/>
        </w:rPr>
        <w:t xml:space="preserve">  und</w:t>
      </w:r>
      <w:proofErr w:type="gramEnd"/>
      <w:r>
        <w:rPr>
          <w:lang w:val="de"/>
        </w:rPr>
        <w:t xml:space="preserve"> Teilnehmer mit</w:t>
      </w:r>
      <w:r w:rsidR="00A13B9E">
        <w:rPr>
          <w:lang w:val="de"/>
        </w:rPr>
        <w:t xml:space="preserve"> einer übermäßigen Anzahl von markierten Zeitpunkten mit fsL-Bewegungsausreißererkennung (n = 2, datengesteuerter Cutoff mit Tukey-Scharnieren, entsprechend einem Schwellenwert </w:t>
      </w:r>
      <w:r>
        <w:rPr>
          <w:lang w:val="de"/>
        </w:rPr>
        <w:t xml:space="preserve">von </w:t>
      </w:r>
      <w:r w:rsidR="00A13B9E">
        <w:rPr>
          <w:lang w:val="de"/>
        </w:rPr>
        <w:t>&gt;</w:t>
      </w:r>
      <w:r>
        <w:rPr>
          <w:lang w:val="de"/>
        </w:rPr>
        <w:t xml:space="preserve"> </w:t>
      </w:r>
      <w:r w:rsidR="00A13B9E">
        <w:rPr>
          <w:lang w:val="de"/>
        </w:rPr>
        <w:t xml:space="preserve"> 13,33% markierten Zeitpunkten).</w:t>
      </w:r>
      <w:r>
        <w:rPr>
          <w:lang w:val="de"/>
        </w:rPr>
        <w:t xml:space="preserve"> Für einen weiteren Teilnehmer wurden alle unabhängigen Komponenten von ICA-AROMA als artefaktlich klassifiziert. </w:t>
      </w:r>
    </w:p>
    <w:p w14:paraId="18C0767D" w14:textId="77777777" w:rsidR="002C415E" w:rsidRPr="009363AC" w:rsidRDefault="0054152A">
      <w:pPr>
        <w:rPr>
          <w:rFonts w:ascii="Times New Roman" w:hAnsi="Times New Roman" w:cs="Times New Roman"/>
        </w:rPr>
      </w:pPr>
      <w:r>
        <w:rPr>
          <w:lang w:val="de"/>
        </w:rPr>
        <w:t xml:space="preserve">Die Zeitreihen eines Teilnehmers waren unvollständig. </w:t>
      </w:r>
      <w:r w:rsidR="002C415E">
        <w:rPr>
          <w:lang w:val="de"/>
        </w:rPr>
        <w:t>Einschließlich zweier Teilnehmer, die sich von der Studie abmeldeten,</w:t>
      </w:r>
      <w:r>
        <w:rPr>
          <w:lang w:val="de"/>
        </w:rPr>
        <w:t>wurden insgesamt 1</w:t>
      </w:r>
      <w:r w:rsidR="005064BA">
        <w:rPr>
          <w:lang w:val="de"/>
        </w:rPr>
        <w:t>7</w:t>
      </w:r>
      <w:r>
        <w:rPr>
          <w:lang w:val="de"/>
        </w:rPr>
        <w:t xml:space="preserve"> </w:t>
      </w:r>
      <w:r w:rsidR="002C415E">
        <w:rPr>
          <w:lang w:val="de"/>
        </w:rPr>
        <w:t xml:space="preserve"> Teilnehmer von der COBRE-Probe ausgeschlossen.</w:t>
      </w:r>
    </w:p>
    <w:p w14:paraId="2A8E4E16" w14:textId="77777777" w:rsidR="00453BB3" w:rsidRPr="009363AC" w:rsidRDefault="00453BB3">
      <w:pPr>
        <w:rPr>
          <w:rFonts w:ascii="Times New Roman" w:hAnsi="Times New Roman" w:cs="Times New Roman"/>
        </w:rPr>
      </w:pPr>
      <w:r>
        <w:rPr>
          <w:lang w:val="de"/>
        </w:rPr>
        <w:lastRenderedPageBreak/>
        <w:t>Wir identifizierten einen bilateralen ROI (Frontalpol) mit schlechter Abdeckung</w:t>
      </w:r>
      <w:r w:rsidR="00DD0D4A">
        <w:rPr>
          <w:lang w:val="de"/>
        </w:rPr>
        <w:t xml:space="preserve"> (links: 63,7%, rechts: 67,49% mittlere Abdeckung)</w:t>
      </w:r>
      <w:r>
        <w:rPr>
          <w:lang w:val="de"/>
        </w:rPr>
        <w:t xml:space="preserve">  in den funktionellen Daten (räumliche Überlappung zwischen anatomischem ROI und Funktioneller Maske).</w:t>
      </w:r>
    </w:p>
    <w:p w14:paraId="30567012" w14:textId="77777777" w:rsidR="00B11B96" w:rsidRPr="009363AC" w:rsidRDefault="00B11B96">
      <w:pPr>
        <w:rPr>
          <w:rFonts w:ascii="Times New Roman" w:hAnsi="Times New Roman" w:cs="Times New Roman"/>
        </w:rPr>
      </w:pPr>
    </w:p>
    <w:p w14:paraId="7F16205A" w14:textId="77777777" w:rsidR="00B11B96" w:rsidRPr="009363AC" w:rsidRDefault="00B11B96">
      <w:pPr>
        <w:rPr>
          <w:rFonts w:ascii="Times New Roman" w:hAnsi="Times New Roman" w:cs="Times New Roman"/>
          <w:b/>
        </w:rPr>
      </w:pPr>
      <w:r w:rsidRPr="00B11B96">
        <w:rPr>
          <w:b/>
          <w:lang w:val="de"/>
        </w:rPr>
        <w:t>Endgültige Probe</w:t>
      </w:r>
    </w:p>
    <w:p w14:paraId="0EE41748" w14:textId="78368448" w:rsidR="00B11B96" w:rsidRPr="009363AC" w:rsidRDefault="00FE4E45">
      <w:pPr>
        <w:rPr>
          <w:rFonts w:ascii="Times New Roman" w:hAnsi="Times New Roman" w:cs="Times New Roman"/>
          <w:b/>
        </w:rPr>
      </w:pPr>
      <w:r>
        <w:rPr>
          <w:lang w:val="de"/>
        </w:rPr>
        <w:t xml:space="preserve">N = </w:t>
      </w:r>
      <w:proofErr w:type="gramStart"/>
      <w:r>
        <w:rPr>
          <w:lang w:val="de"/>
        </w:rPr>
        <w:t>61  Patienten</w:t>
      </w:r>
      <w:proofErr w:type="gramEnd"/>
      <w:r>
        <w:rPr>
          <w:lang w:val="de"/>
        </w:rPr>
        <w:t>, n = 70 Kontrollen, n= 34 weiblich, n = 97 männlich, Durchschnittsalter M = 37,03 (SD = 12,96)</w:t>
      </w:r>
      <w:r w:rsidR="008A460D">
        <w:rPr>
          <w:lang w:val="de"/>
        </w:rPr>
        <w:t>. Kein Unterschied zwischen den Altersgruppen in Bezug auf das Alter (</w:t>
      </w:r>
      <w:proofErr w:type="gramStart"/>
      <w:r w:rsidR="008A460D">
        <w:rPr>
          <w:lang w:val="de"/>
        </w:rPr>
        <w:t>t(</w:t>
      </w:r>
      <w:proofErr w:type="gramEnd"/>
      <w:r w:rsidR="008A460D">
        <w:rPr>
          <w:lang w:val="de"/>
        </w:rPr>
        <w:t>129) = -1.166</w:t>
      </w:r>
      <w:r w:rsidR="00ED6F1C">
        <w:rPr>
          <w:lang w:val="de"/>
        </w:rPr>
        <w:t>, p = .256). Tendenz (noch nicht signifikant) zu weniger Weibchen in der Patientengruppe: Chi2(</w:t>
      </w:r>
      <w:proofErr w:type="gramStart"/>
      <w:r w:rsidR="00ED6F1C">
        <w:rPr>
          <w:lang w:val="de"/>
        </w:rPr>
        <w:t>1)=</w:t>
      </w:r>
      <w:proofErr w:type="gramEnd"/>
      <w:r w:rsidR="00ED6F1C">
        <w:rPr>
          <w:lang w:val="de"/>
        </w:rPr>
        <w:t>3.727, p =.053.</w:t>
      </w:r>
    </w:p>
    <w:sectPr w:rsidR="00B11B96" w:rsidRPr="009363AC" w:rsidSect="00F530B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76"/>
    <w:rsid w:val="00061AC9"/>
    <w:rsid w:val="00076ED8"/>
    <w:rsid w:val="0017028B"/>
    <w:rsid w:val="002C415E"/>
    <w:rsid w:val="002E430B"/>
    <w:rsid w:val="00453BB3"/>
    <w:rsid w:val="005064BA"/>
    <w:rsid w:val="0054152A"/>
    <w:rsid w:val="005A61D7"/>
    <w:rsid w:val="007440A6"/>
    <w:rsid w:val="007D5BB5"/>
    <w:rsid w:val="008A460D"/>
    <w:rsid w:val="009363AC"/>
    <w:rsid w:val="00A13B9E"/>
    <w:rsid w:val="00B11B96"/>
    <w:rsid w:val="00C613A5"/>
    <w:rsid w:val="00C95D63"/>
    <w:rsid w:val="00CF32E7"/>
    <w:rsid w:val="00CF4076"/>
    <w:rsid w:val="00DD0D4A"/>
    <w:rsid w:val="00ED0978"/>
    <w:rsid w:val="00ED6F1C"/>
    <w:rsid w:val="00F530BF"/>
    <w:rsid w:val="00FE4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05A9"/>
  <w15:chartTrackingRefBased/>
  <w15:docId w15:val="{A51B8344-9A61-4142-B7A0-74A227D3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F4076"/>
    <w:rPr>
      <w:color w:val="0563C1" w:themeColor="hyperlink"/>
      <w:u w:val="single"/>
    </w:rPr>
  </w:style>
  <w:style w:type="character" w:styleId="NichtaufgelsteErwhnung">
    <w:name w:val="Unresolved Mention"/>
    <w:basedOn w:val="Absatz-Standardschriftart"/>
    <w:uiPriority w:val="99"/>
    <w:semiHidden/>
    <w:unhideWhenUsed/>
    <w:rsid w:val="00CF4076"/>
    <w:rPr>
      <w:color w:val="605E5C"/>
      <w:shd w:val="clear" w:color="auto" w:fill="E1DFDD"/>
    </w:rPr>
  </w:style>
  <w:style w:type="character" w:styleId="Platzhaltertext">
    <w:name w:val="Placeholder Text"/>
    <w:basedOn w:val="Absatz-Standardschriftart"/>
    <w:uiPriority w:val="99"/>
    <w:semiHidden/>
    <w:rsid w:val="009363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rfer.nmr.mgh.harvard.edu" TargetMode="External"/><Relationship Id="rId4" Type="http://schemas.openxmlformats.org/officeDocument/2006/relationships/hyperlink" Target="http://fcon_1000.projects.nitrc.org/indi/retro/cob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TU-Pseudonym 3198996203288095</cp:lastModifiedBy>
  <cp:revision>1</cp:revision>
  <dcterms:created xsi:type="dcterms:W3CDTF">2020-12-01T21:11:00Z</dcterms:created>
  <dcterms:modified xsi:type="dcterms:W3CDTF">2021-03-24T21:25:00Z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id="zItcX7bn"/&gt;&lt;style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