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73D2F59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857BA">
              <w:rPr>
                <w:rFonts w:asciiTheme="majorHAnsi" w:hAnsiTheme="majorHAnsi"/>
                <w:b/>
              </w:rPr>
              <w:t>10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DF641A">
              <w:rPr>
                <w:rFonts w:asciiTheme="majorHAnsi" w:hAnsiTheme="majorHAnsi"/>
                <w:b/>
              </w:rPr>
              <w:t>5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23D550C0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D5008">
              <w:rPr>
                <w:rFonts w:asciiTheme="majorHAnsi" w:hAnsiTheme="majorHAnsi"/>
                <w:b/>
              </w:rPr>
              <w:t>7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void draw()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fill(0);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B2109C7" w:rsidR="00A166FC" w:rsidRPr="005D1C2D" w:rsidRDefault="00851697" w:rsidP="00851697">
            <w:pPr>
              <w:rPr>
                <w:rFonts w:ascii="Calibri" w:eastAsia="Times New Roman" w:hAnsi="Calibri" w:cs="Times New Roman"/>
                <w:color w:val="000000"/>
              </w:rPr>
            </w:pPr>
            <w:r w:rsidRPr="00851697">
              <w:rPr>
                <w:rFonts w:ascii="Arial" w:hAnsi="Arial" w:cs="Arial"/>
                <w:color w:val="0F243E" w:themeColor="text2" w:themeShade="80"/>
                <w:shd w:val="clear" w:color="auto" w:fill="FFFFFF"/>
              </w:rPr>
              <w:t xml:space="preserve"> A </w:t>
            </w:r>
            <w:r w:rsidRPr="00851697">
              <w:rPr>
                <w:rFonts w:ascii="Arial" w:hAnsi="Arial" w:cs="Arial"/>
                <w:color w:val="0F243E" w:themeColor="text2" w:themeShade="80"/>
                <w:shd w:val="clear" w:color="auto" w:fill="FFFFFF"/>
              </w:rPr>
              <w:t xml:space="preserve">process management concept described by Geary A. </w:t>
            </w:r>
            <w:proofErr w:type="spellStart"/>
            <w:r w:rsidRPr="00851697">
              <w:rPr>
                <w:rFonts w:ascii="Arial" w:hAnsi="Arial" w:cs="Arial"/>
                <w:color w:val="0F243E" w:themeColor="text2" w:themeShade="80"/>
                <w:shd w:val="clear" w:color="auto" w:fill="FFFFFF"/>
              </w:rPr>
              <w:t>Rummler</w:t>
            </w:r>
            <w:proofErr w:type="spellEnd"/>
            <w:r w:rsidRPr="00851697">
              <w:rPr>
                <w:rFonts w:ascii="Arial" w:hAnsi="Arial" w:cs="Arial"/>
                <w:color w:val="0F243E" w:themeColor="text2" w:themeShade="80"/>
                <w:shd w:val="clear" w:color="auto" w:fill="FFFFFF"/>
              </w:rPr>
              <w:t xml:space="preserve"> and Alan P. </w:t>
            </w:r>
            <w:proofErr w:type="spellStart"/>
            <w:r w:rsidRPr="00851697">
              <w:rPr>
                <w:rFonts w:ascii="Arial" w:hAnsi="Arial" w:cs="Arial"/>
                <w:color w:val="0F243E" w:themeColor="text2" w:themeShade="80"/>
                <w:shd w:val="clear" w:color="auto" w:fill="FFFFFF"/>
              </w:rPr>
              <w:t>Brache</w:t>
            </w:r>
            <w:proofErr w:type="spellEnd"/>
            <w:r w:rsidRPr="00851697">
              <w:rPr>
                <w:rFonts w:ascii="Arial" w:hAnsi="Arial" w:cs="Arial"/>
                <w:color w:val="0F243E" w:themeColor="text2" w:themeShade="80"/>
                <w:shd w:val="clear" w:color="auto" w:fill="FFFFFF"/>
              </w:rPr>
              <w:t xml:space="preserve"> in 1991 as the area between the boxes in an organizational chart—where, very often, no one is in charge</w:t>
            </w:r>
            <w:r w:rsidRPr="00851697">
              <w:rPr>
                <w:rFonts w:ascii="Arial" w:hAnsi="Arial" w:cs="Arial"/>
                <w:color w:val="0F243E" w:themeColor="text2" w:themeShade="80"/>
                <w:shd w:val="clear" w:color="auto" w:fill="FFFFFF"/>
              </w:rPr>
              <w:t>.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B582929" w:rsidR="00A166FC" w:rsidRPr="005D1C2D" w:rsidRDefault="008516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 lower case except for the first letter of the next work.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A9D8572" w:rsidR="0046179D" w:rsidRPr="005D1C2D" w:rsidRDefault="008516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Specific condition that must be met to be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5564F1D" w:rsidR="001C2334" w:rsidRPr="00B60768" w:rsidRDefault="00851697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Must either evaluate to be true or false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15AEA4F" w:rsidR="00A166FC" w:rsidRPr="00B60768" w:rsidRDefault="00851697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Also must either evaluate to be true or false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13981E38" w:rsidR="00A166FC" w:rsidRPr="005D1C2D" w:rsidRDefault="008516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Examples include: “if” and “if else”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444AD0E3" w:rsidR="00A166FC" w:rsidRPr="00B60768" w:rsidRDefault="00851697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Store the value of true or false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37B8167D" w14:textId="199DA583" w:rsidR="00B62ACF" w:rsidRPr="00B62ACF" w:rsidRDefault="00912A5F" w:rsidP="00B62AC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Answer:</w:t>
            </w:r>
            <w:r w:rsidR="00B62ACF">
              <w:t xml:space="preserve"> </w:t>
            </w:r>
            <w:r w:rsidR="00B62ACF" w:rsidRPr="00B62ACF">
              <w:rPr>
                <w:rFonts w:ascii="Verdana" w:hAnsi="Verdana" w:cs="Verdana"/>
              </w:rPr>
              <w:t xml:space="preserve">float </w:t>
            </w:r>
            <w:proofErr w:type="spellStart"/>
            <w:r w:rsidR="00B62ACF" w:rsidRPr="00B62ACF">
              <w:rPr>
                <w:rFonts w:ascii="Verdana" w:hAnsi="Verdana" w:cs="Verdana"/>
              </w:rPr>
              <w:t>tempConverter</w:t>
            </w:r>
            <w:proofErr w:type="spellEnd"/>
            <w:r w:rsidR="00B62ACF" w:rsidRPr="00B62ACF">
              <w:rPr>
                <w:rFonts w:ascii="Verdana" w:hAnsi="Verdana" w:cs="Verdana"/>
              </w:rPr>
              <w:t>(float f) {</w:t>
            </w:r>
          </w:p>
          <w:p w14:paraId="2C438756" w14:textId="77777777" w:rsidR="00B62ACF" w:rsidRPr="00B62ACF" w:rsidRDefault="00B62ACF" w:rsidP="00B62AC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</w:rPr>
            </w:pPr>
            <w:r w:rsidRPr="00B62ACF">
              <w:rPr>
                <w:rFonts w:ascii="Verdana" w:hAnsi="Verdana" w:cs="Verdana"/>
              </w:rPr>
              <w:t xml:space="preserve">  float c = f-32*(5.0/9.0);</w:t>
            </w:r>
          </w:p>
          <w:p w14:paraId="7AF68C32" w14:textId="35ABC47C" w:rsidR="00A22CEE" w:rsidRPr="00430F12" w:rsidRDefault="00B62ACF" w:rsidP="00B62AC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B62ACF">
              <w:rPr>
                <w:rFonts w:ascii="Verdana" w:hAnsi="Verdana" w:cs="Verdana"/>
              </w:rPr>
              <w:t xml:space="preserve">  return c;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functions  i.e.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footerReference w:type="default" r:id="rId9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D011A" w14:textId="77777777" w:rsidR="00055239" w:rsidRDefault="00055239" w:rsidP="001C2334">
      <w:r>
        <w:separator/>
      </w:r>
    </w:p>
  </w:endnote>
  <w:endnote w:type="continuationSeparator" w:id="0">
    <w:p w14:paraId="28520B46" w14:textId="77777777" w:rsidR="00055239" w:rsidRDefault="0005523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82F5F" w14:textId="77777777" w:rsidR="00055239" w:rsidRDefault="00055239" w:rsidP="001C2334">
      <w:r>
        <w:separator/>
      </w:r>
    </w:p>
  </w:footnote>
  <w:footnote w:type="continuationSeparator" w:id="0">
    <w:p w14:paraId="1DCE40B5" w14:textId="77777777" w:rsidR="00055239" w:rsidRDefault="0005523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55239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2F1855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230F"/>
    <w:rsid w:val="00437446"/>
    <w:rsid w:val="00451C26"/>
    <w:rsid w:val="0046179D"/>
    <w:rsid w:val="004836C0"/>
    <w:rsid w:val="004F5880"/>
    <w:rsid w:val="00500E3C"/>
    <w:rsid w:val="005148F9"/>
    <w:rsid w:val="00527F9A"/>
    <w:rsid w:val="005C7510"/>
    <w:rsid w:val="005D1C2D"/>
    <w:rsid w:val="005E509C"/>
    <w:rsid w:val="00600E86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51697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B367FB"/>
    <w:rsid w:val="00B60768"/>
    <w:rsid w:val="00B62ACF"/>
    <w:rsid w:val="00B857BA"/>
    <w:rsid w:val="00C64F88"/>
    <w:rsid w:val="00C879BA"/>
    <w:rsid w:val="00CF65F4"/>
    <w:rsid w:val="00D105C1"/>
    <w:rsid w:val="00D54A03"/>
    <w:rsid w:val="00DA2D9C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OLSON, BENJAMIN J</cp:lastModifiedBy>
  <cp:revision>3</cp:revision>
  <cp:lastPrinted>2013-06-27T17:49:00Z</cp:lastPrinted>
  <dcterms:created xsi:type="dcterms:W3CDTF">2015-10-05T20:03:00Z</dcterms:created>
  <dcterms:modified xsi:type="dcterms:W3CDTF">2015-10-07T19:11:00Z</dcterms:modified>
</cp:coreProperties>
</file>