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Lisensavtale for Xago PTE-applikasjoner i Microsoft Dynamics 365 Business Central</w:t>
      </w:r>
    </w:p>
    <w:p>
      <w:r>
        <w:rPr>
          <w:b/>
        </w:rPr>
        <w:t>Software License Agreement — Xago Per-Tenant Extensions (PTE)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Leverandør / Licensor</w:t>
            </w:r>
            <w:r/>
          </w:p>
        </w:tc>
        <w:tc>
          <w:tcPr>
            <w:tcW w:type="dxa" w:w="4320"/>
          </w:tcPr>
          <w:p>
            <w:r/>
            <w:r>
              <w:t>Xago Software AS, org.nr. 927 323 388, Hasle Linje 10, 0571 Oslo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Kunde / Licensee</w:t>
            </w:r>
            <w:r/>
          </w:p>
        </w:tc>
        <w:tc>
          <w:tcPr>
            <w:tcW w:type="dxa" w:w="4320"/>
          </w:tcPr>
          <w:p>
            <w:r/>
            <w:r>
              <w:t>[CUSTOMER NAME], org.nr. [CUSTOMER ORG.NO], [ADDRESS]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Avtaledato / Date</w:t>
            </w:r>
            <w:r/>
          </w:p>
        </w:tc>
        <w:tc>
          <w:tcPr>
            <w:tcW w:type="dxa" w:w="4320"/>
          </w:tcPr>
          <w:p>
            <w:r/>
            <w:r>
              <w:t>[DATE]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Produkt(er)</w:t>
            </w:r>
            <w:r/>
          </w:p>
        </w:tc>
        <w:tc>
          <w:tcPr>
            <w:tcW w:type="dxa" w:w="4320"/>
          </w:tcPr>
          <w:p>
            <w:r/>
            <w:r>
              <w:t>[e.g. Xago Dispatcher, Xago Nordic, andre PTE-extensions]</w:t>
            </w:r>
          </w:p>
        </w:tc>
      </w:tr>
    </w:tbl>
    <w:p/>
    <w:p>
      <w:pPr>
        <w:pStyle w:val="Heading2"/>
      </w:pPr>
      <w:r>
        <w:t>1. Definisjoner</w:t>
      </w:r>
    </w:p>
    <w:p>
      <w:pPr>
        <w:pStyle w:val="ListBullet"/>
      </w:pPr>
      <w:r/>
      <w:r>
        <w:rPr>
          <w:b/>
        </w:rPr>
        <w:t>"Leverandøren"</w:t>
      </w:r>
      <w:r>
        <w:t xml:space="preserve"> betyr Xago Software AS.</w:t>
      </w:r>
    </w:p>
    <w:p>
      <w:pPr>
        <w:pStyle w:val="ListBullet"/>
      </w:pPr>
      <w:r/>
      <w:r>
        <w:rPr>
          <w:b/>
        </w:rPr>
        <w:t>"Kunden"</w:t>
      </w:r>
      <w:r>
        <w:t xml:space="preserve"> betyr den juridiske enheten som benytter Leverandørens PTE-applikasjoner.</w:t>
      </w:r>
    </w:p>
    <w:p>
      <w:pPr>
        <w:pStyle w:val="ListBullet"/>
      </w:pPr>
      <w:r/>
      <w:r>
        <w:rPr>
          <w:b/>
        </w:rPr>
        <w:t>"PTE-applikasjonen"</w:t>
      </w:r>
      <w:r>
        <w:t xml:space="preserve"> betyr Per-Tenant Extension(s) utviklet og levert av Leverandøren for Microsoft Dynamics 365 Business Central.</w:t>
      </w:r>
    </w:p>
    <w:p>
      <w:pPr>
        <w:pStyle w:val="ListBullet"/>
      </w:pPr>
      <w:r/>
      <w:r>
        <w:rPr>
          <w:b/>
        </w:rPr>
        <w:t>"CSP-avtalen"</w:t>
      </w:r>
      <w:r>
        <w:t xml:space="preserve"> betyr abonnementsavtalen mellom Kunden og Leverandøren for Microsoft Dynamics 365 Business Central-lisenser.</w:t>
      </w:r>
    </w:p>
    <w:p>
      <w:pPr>
        <w:pStyle w:val="ListBullet"/>
      </w:pPr>
      <w:r/>
      <w:r>
        <w:rPr>
          <w:b/>
        </w:rPr>
        <w:t>"Avtaleperioden"</w:t>
      </w:r>
      <w:r>
        <w:t xml:space="preserve"> betyr gjeldende lisensperiode, normalt 12 måneder med månedlig fakturering.</w:t>
      </w:r>
    </w:p>
    <w:p>
      <w:pPr>
        <w:pStyle w:val="Heading2"/>
      </w:pPr>
      <w:r>
        <w:t>2. Lisenstildeling</w:t>
      </w:r>
    </w:p>
    <w:p>
      <w:r>
        <w:t>Leverandøren gir Kunden en ikke-eksklusiv, ikke-overførbar, gjenkallelig lisens til å benytte PTE-applikasjonen i henhold til vilkårene i denne avtalen.</w:t>
      </w:r>
    </w:p>
    <w:p>
      <w:r>
        <w:t>Lisensen er strengt begrenset til bruk i Kundens egne Business Central-miljøer, og kun så lenge Kunden opprettholder en aktiv CSP-avtale med Leverandøren for de relevante Business Central-lisensene.</w:t>
      </w:r>
    </w:p>
    <w:p>
      <w:pPr>
        <w:pStyle w:val="Heading2"/>
      </w:pPr>
      <w:r>
        <w:t>3. Immaterielle rettigheter og kopiering</w:t>
      </w:r>
    </w:p>
    <w:p>
      <w:r>
        <w:t xml:space="preserve">PTE-applikasjonen, inkludert all kildekode, design, funksjonalitet, dokumentasjon og tilhørende materiell, er og forblir </w:t>
      </w:r>
      <w:r>
        <w:rPr>
          <w:b/>
        </w:rPr>
        <w:t>Leverandørens eksklusive eiendom</w:t>
      </w:r>
      <w:r>
        <w:t>. Alle immaterielle rettigheter tilhører Leverandøren.</w:t>
      </w:r>
    </w:p>
    <w:p>
      <w:r>
        <w:rPr>
          <w:b/>
        </w:rPr>
        <w:t>Kunden har IKKE rett til å:</w:t>
      </w:r>
    </w:p>
    <w:p>
      <w:pPr>
        <w:pStyle w:val="ListNumber"/>
      </w:pPr>
      <w:r>
        <w:t>Kopiere, reprodusere eller duplisere PTE-applikasjonen eller deler av den</w:t>
      </w:r>
    </w:p>
    <w:p>
      <w:pPr>
        <w:pStyle w:val="ListNumber"/>
      </w:pPr>
      <w:r>
        <w:t>Modifisere, tilpasse, dekompilere, dekode eller foreta reverse engineering av PTE-applikasjonen</w:t>
      </w:r>
    </w:p>
    <w:p>
      <w:pPr>
        <w:pStyle w:val="ListNumber"/>
      </w:pPr>
      <w:r>
        <w:t>Distribuere, sublisensiere, selge eller overføre PTE-applikasjonen til tredjeparter</w:t>
      </w:r>
    </w:p>
    <w:p>
      <w:pPr>
        <w:pStyle w:val="ListNumber"/>
      </w:pPr>
      <w:r>
        <w:t>Benytte PTE-applikasjonen som grunnlag for utvikling av konkurrerende produkter</w:t>
      </w:r>
    </w:p>
    <w:p>
      <w:pPr>
        <w:pStyle w:val="ListNumber"/>
      </w:pPr>
      <w:r>
        <w:t>Gi tredjeparter tilgang til PTE-applikasjonens kode eller funksjonalitet utover normal bruk</w:t>
      </w:r>
    </w:p>
    <w:p>
      <w:pPr>
        <w:pStyle w:val="ListNumber"/>
      </w:pPr>
      <w:r>
        <w:t>Gi konkurrenter administratortilgang til tenanten der PTE-applikasjonen er installert</w:t>
      </w:r>
    </w:p>
    <w:p>
      <w:pPr>
        <w:pStyle w:val="Heading2"/>
      </w:pPr>
      <w:r>
        <w:t>4. CSP-abonnement og lisensforpliktelse</w:t>
      </w:r>
    </w:p>
    <w:p>
      <w:pPr>
        <w:ind w:left="720"/>
      </w:pPr>
      <w:r/>
      <w:r>
        <w:rPr>
          <w:b/>
        </w:rPr>
        <w:t>Viktig:</w:t>
      </w:r>
      <w:r>
        <w:t xml:space="preserve"> Bruk av PTE-applikasjonen forutsetter at Kunden opprettholder et aktivt CSP-abonnement for Microsoft Dynamics 365 Business Central gjennom Leverandøren.</w:t>
      </w:r>
    </w:p>
    <w:p>
      <w:pPr>
        <w:pStyle w:val="Heading3"/>
      </w:pPr>
      <w:r>
        <w:t>4.1 Forpliktelse til CSP-avtalen</w:t>
      </w:r>
    </w:p>
    <w:p>
      <w:r>
        <w:t>Kunden forplikter seg til å opprettholde sitt CSP-abonnement gjennom Leverandøren for hele Avtaleperioden. CSP-abonnementet følger normalt en ettårig fornyelsessyklus med månedlig fakturering.</w:t>
      </w:r>
    </w:p>
    <w:p>
      <w:pPr>
        <w:pStyle w:val="Heading3"/>
      </w:pPr>
      <w:r>
        <w:t>4.2 Overføring av CSP til annen partner</w:t>
      </w:r>
    </w:p>
    <w:p>
      <w:r>
        <w:t>Dersom Kunden velger å overføre sine Business Central-lisenser til en annen CSP-partner:</w:t>
      </w:r>
    </w:p>
    <w:p>
      <w:pPr>
        <w:pStyle w:val="ListNumber"/>
      </w:pPr>
      <w:r>
        <w:t xml:space="preserve">Lisensen til PTE-applikasjonen opphører </w:t>
      </w:r>
      <w:r>
        <w:rPr>
          <w:b/>
        </w:rPr>
        <w:t>automatisk og umiddelbart</w:t>
      </w:r>
      <w:r>
        <w:t xml:space="preserve"> på overføringstidspunktet.</w:t>
      </w:r>
    </w:p>
    <w:p>
      <w:pPr>
        <w:pStyle w:val="ListNumber"/>
      </w:pPr>
      <w:r>
        <w:t>Kunden er ansvarlig for alle kostnader knyttet til gjenværende CSP-avtaleperiode. Leverandøren forbeholder seg retten til å fakturere Kunden for de gjenværende lisenskostnadene som Leverandøren er forpliktet til å betale Microsoft.</w:t>
      </w:r>
    </w:p>
    <w:p>
      <w:pPr>
        <w:pStyle w:val="ListNumber"/>
      </w:pPr>
      <w:r>
        <w:t>Kunden må umiddelbart avinstallere og opphøre med bruk av PTE-applikasjonen.</w:t>
      </w:r>
    </w:p>
    <w:p>
      <w:pPr>
        <w:pStyle w:val="ListNumber"/>
      </w:pPr>
      <w:r>
        <w:t>Data generert av PTE-applikasjonen forblir i Kundens Business Central-miljø, men Leverandøren har ingen forpliktelse til support eller vedlikehold etter opphør.</w:t>
      </w:r>
    </w:p>
    <w:p>
      <w:pPr>
        <w:pStyle w:val="Heading3"/>
      </w:pPr>
      <w:r>
        <w:t>4.3 Gjenværende kostnader</w:t>
      </w:r>
    </w:p>
    <w:p>
      <w:r>
        <w:t>Dersom CSP-avtalen har en gjenværende bindingsperiode og Kunden avslutter eller overfører CSP-abonnementet før denne perioden utløper, er Kunden forpliktet til å betale Leverandøren for gjenværende måneder av avtaleperioden. Dette gjelder uavhengig av om Kunden fortsetter å bruke Business Central gjennom en annen partner.</w:t>
      </w:r>
    </w:p>
    <w:p>
      <w:pPr>
        <w:pStyle w:val="Heading2"/>
      </w:pPr>
      <w:r>
        <w:t>5. Oppsigelse og varselfrister</w:t>
      </w:r>
    </w:p>
    <w:p>
      <w:pPr>
        <w:pStyle w:val="Heading3"/>
      </w:pPr>
      <w:r>
        <w:t>5.1 Oppsigelsesvarsel</w:t>
      </w:r>
    </w:p>
    <w:p>
      <w:r>
        <w:t xml:space="preserve">Kunden må gi skriftlig oppsigelse </w:t>
      </w:r>
      <w:r>
        <w:rPr>
          <w:b/>
        </w:rPr>
        <w:t>senest 3 — tre — måneder</w:t>
      </w:r>
      <w:r>
        <w:t xml:space="preserve"> før utløp av gjeldende Avtaleperiode. Uten rettidig oppsigelse fornyes avtalen automatisk for ny 12-månedersperiode.</w:t>
      </w:r>
    </w:p>
    <w:p>
      <w:pPr>
        <w:pStyle w:val="Heading3"/>
      </w:pPr>
      <w:r>
        <w:t>5.2 Leverandørens oppsigelsesrett</w:t>
      </w:r>
    </w:p>
    <w:p>
      <w:r>
        <w:t>Leverandøren kan si opp avtalen med umiddelbar virkning dersom:</w:t>
      </w:r>
    </w:p>
    <w:p>
      <w:pPr>
        <w:pStyle w:val="ListNumber"/>
      </w:pPr>
      <w:r>
        <w:t>Kunden misligholder vilkårene i denne avtalen</w:t>
      </w:r>
    </w:p>
    <w:p>
      <w:pPr>
        <w:pStyle w:val="ListNumber"/>
      </w:pPr>
      <w:r>
        <w:t>Kunden ikke betaler forfalte fakturaer innen 30 dager etter forfall</w:t>
      </w:r>
    </w:p>
    <w:p>
      <w:pPr>
        <w:pStyle w:val="ListNumber"/>
      </w:pPr>
      <w:r>
        <w:t>Kunden slås konkurs eller tas under insolvensbehandling</w:t>
      </w:r>
    </w:p>
    <w:p>
      <w:pPr>
        <w:pStyle w:val="ListNumber"/>
      </w:pPr>
      <w:r>
        <w:t>Kunden gir en konkurrent administratortilgang til tenanten der PTE-applikasjonen er installert, og ikke retter forholdet innen 7 dager etter skriftlig varsel</w:t>
      </w:r>
    </w:p>
    <w:p>
      <w:pPr>
        <w:pStyle w:val="Heading3"/>
      </w:pPr>
      <w:r>
        <w:t>5.3 Konsekvenser ved opphør</w:t>
      </w:r>
    </w:p>
    <w:p>
      <w:r>
        <w:t>Ved avtalens opphør skal Kunden umiddelbart opphøre med bruk av PTE-applikasjonen og avinstallere den fra alle miljøer. Leverandøren forbeholder seg retten til å fjerndeaktivere PTE-applikasjonen.</w:t>
      </w:r>
    </w:p>
    <w:p>
      <w:pPr>
        <w:pStyle w:val="Heading2"/>
      </w:pPr>
      <w:r>
        <w:t>6. Prising og fakturering</w:t>
      </w:r>
    </w:p>
    <w:p>
      <w:pPr>
        <w:pStyle w:val="Heading3"/>
      </w:pPr>
      <w:r>
        <w:t>6.1 Lisensavgift</w:t>
      </w:r>
    </w:p>
    <w:p>
      <w:r>
        <w:t>Lisensavgift fremgår av separat pristilbud eller ordrebekreftelse. Avgiften faktureres månedlig eller årlig etter avtale.</w:t>
      </w:r>
    </w:p>
    <w:p>
      <w:pPr>
        <w:pStyle w:val="Heading3"/>
      </w:pPr>
      <w:r>
        <w:t>6.2 Prisjustering</w:t>
      </w:r>
    </w:p>
    <w:p>
      <w:r>
        <w:t>Leverandøren kan justere lisensavgiften med 60 dagers skriftlig varsel. Kunden har rett til å si opp avtalen innen varslingsperioden dersom ny pris ikke aksepteres.</w:t>
      </w:r>
    </w:p>
    <w:p>
      <w:pPr>
        <w:pStyle w:val="Heading3"/>
      </w:pPr>
      <w:r>
        <w:t>6.3 Betalingsbetingelser</w:t>
      </w:r>
    </w:p>
    <w:p>
      <w:r>
        <w:t>Betalingsfrist er 14 dager fra fakturadato. Ved forsinket betaling påløper forsinkelsesrenter i henhold til forsinkelsesrenteloven.</w:t>
      </w:r>
    </w:p>
    <w:p>
      <w:pPr>
        <w:pStyle w:val="Heading2"/>
      </w:pPr>
      <w:r>
        <w:t>7. Support og vedlikehold</w:t>
      </w:r>
    </w:p>
    <w:p>
      <w:r>
        <w:t>Leverandøren yter support og vedlikehold på PTE-applikasjonen som beskrevet i separat støtteavtale eller i henhold til Leverandørens standard supportvilkår. Support forutsetter at Kunden benytter en støttet versjon av Business Central.</w:t>
      </w:r>
    </w:p>
    <w:p>
      <w:pPr>
        <w:pStyle w:val="Heading2"/>
      </w:pPr>
      <w:r>
        <w:t>8. Konfidensialitet</w:t>
      </w:r>
    </w:p>
    <w:p>
      <w:r>
        <w:t>Begge parter forplikter seg til å behandle den andre parts forretningsmessige og tekniske opplysninger konfidensielt. Kunden skal spesielt sikre at PTE-applikasjonens funksjonalitet, kode og konfigurasjon ikke gjøres tilgjengelig for uvedkommende, herunder konkurrenter.</w:t>
      </w:r>
    </w:p>
    <w:p>
      <w:pPr>
        <w:pStyle w:val="Heading2"/>
      </w:pPr>
      <w:r>
        <w:t>9. Ansvarsbegrensning</w:t>
      </w:r>
    </w:p>
    <w:p>
      <w:r>
        <w:t>Leverandørens samlede erstatningsansvar under denne avtalen er begrenset til det beløp Kunden har betalt til Leverandøren de siste 3 måneder forut for kravet. Leverandøren er ikke ansvarlig for indirekte tap, tapt fortjeneste eller tap av data.</w:t>
      </w:r>
    </w:p>
    <w:p>
      <w:pPr>
        <w:pStyle w:val="Heading2"/>
      </w:pPr>
      <w:r>
        <w:t>10. Databehandling</w:t>
      </w:r>
    </w:p>
    <w:p>
      <w:r>
        <w:t>Behandling av personopplysninger i forbindelse med leveransen reguleres av vedlagt Databehandleravtale (Bilag A — DPA). Kunden er behandlingsansvarlig for personopplysninger i sitt Business Central-miljø.</w:t>
      </w:r>
    </w:p>
    <w:p>
      <w:pPr>
        <w:pStyle w:val="Heading2"/>
      </w:pPr>
      <w:r>
        <w:t>11. Lovvalg og verneting</w:t>
      </w:r>
    </w:p>
    <w:p>
      <w:r>
        <w:t>Denne avtalen er underlagt norsk rett. Eventuelle tvister skal søkes løst i minnelighet. Dersom enighet ikke oppnås, er Oslo tingrett verneting.</w:t>
      </w:r>
    </w:p>
    <w:p>
      <w:pPr>
        <w:pStyle w:val="Heading2"/>
      </w:pPr>
      <w:r>
        <w:t>12. Ikrafttredelse og aksept</w:t>
      </w:r>
    </w:p>
    <w:p>
      <w:r>
        <w:t>Avtalen trer i kraft på avtaledato, eller ved at Kunden tar PTE-applikasjonen i bruk — det som inntreffer først.</w:t>
      </w:r>
    </w:p>
    <w:p>
      <w:r>
        <w:t>For eksisterende kunder som mottar disse vilkårene: Fortsatt bruk av PTE-applikasjonen etter [DATE + 30 days] anses som aksept av disse vilkårene.</w:t>
      </w:r>
    </w:p>
    <w:p>
      <w:pPr>
        <w:pStyle w:val="Heading2"/>
      </w:pPr>
      <w:r>
        <w:t>Underskrifter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Xago Software 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[CUSTOMER NAME]</w:t>
            </w:r>
          </w:p>
        </w:tc>
      </w:tr>
      <w:tr>
        <w:tc>
          <w:tcPr>
            <w:tcW w:type="dxa" w:w="4320"/>
          </w:tcPr>
          <w:p>
            <w:r/>
            <w:r>
              <w:t>Navn: _________________</w:t>
            </w:r>
          </w:p>
        </w:tc>
        <w:tc>
          <w:tcPr>
            <w:tcW w:type="dxa" w:w="4320"/>
          </w:tcPr>
          <w:p>
            <w:r/>
            <w:r>
              <w:t>Navn: _________________</w:t>
            </w:r>
          </w:p>
        </w:tc>
      </w:tr>
      <w:tr>
        <w:tc>
          <w:tcPr>
            <w:tcW w:type="dxa" w:w="4320"/>
          </w:tcPr>
          <w:p>
            <w:r/>
            <w:r>
              <w:t>Tittel: _________________</w:t>
            </w:r>
          </w:p>
        </w:tc>
        <w:tc>
          <w:tcPr>
            <w:tcW w:type="dxa" w:w="4320"/>
          </w:tcPr>
          <w:p>
            <w:r/>
            <w:r>
              <w:t>Tittel: _________________</w:t>
            </w:r>
          </w:p>
        </w:tc>
      </w:tr>
      <w:tr>
        <w:tc>
          <w:tcPr>
            <w:tcW w:type="dxa" w:w="4320"/>
          </w:tcPr>
          <w:p>
            <w:r/>
            <w:r>
              <w:t>Dato: _________________</w:t>
            </w:r>
          </w:p>
        </w:tc>
        <w:tc>
          <w:tcPr>
            <w:tcW w:type="dxa" w:w="4320"/>
          </w:tcPr>
          <w:p>
            <w:r/>
            <w:r>
              <w:t>Dato: _________________</w:t>
            </w:r>
          </w:p>
        </w:tc>
      </w:tr>
      <w:tr>
        <w:tc>
          <w:tcPr>
            <w:tcW w:type="dxa" w:w="4320"/>
          </w:tcPr>
          <w:p>
            <w:r/>
            <w:r>
              <w:t>Signatur: _________________</w:t>
            </w:r>
          </w:p>
        </w:tc>
        <w:tc>
          <w:tcPr>
            <w:tcW w:type="dxa" w:w="4320"/>
          </w:tcPr>
          <w:p>
            <w:r/>
            <w:r>
              <w:t>Signatur: _________________</w:t>
            </w:r>
          </w:p>
        </w:tc>
      </w:tr>
    </w:tbl>
    <w:p/>
    <w:p>
      <w:r>
        <w:rPr>
          <w:b/>
        </w:rPr>
        <w:t>Bilag / Annexes:</w:t>
      </w:r>
    </w:p>
    <w:p>
      <w:pPr>
        <w:pStyle w:val="ListBullet"/>
      </w:pPr>
      <w:r>
        <w:t>Bilag A: Databehandleravtale (DPA)</w:t>
      </w:r>
    </w:p>
    <w:p>
      <w:pPr>
        <w:pStyle w:val="ListBullet"/>
      </w:pPr>
      <w:r>
        <w:t>Bilag B: Pristilbud / Ordrebekreftelse</w:t>
      </w:r>
    </w:p>
    <w:p>
      <w:r>
        <w:rPr>
          <w:i/>
          <w:sz w:val="18"/>
        </w:rPr>
        <w:t>Dette dokumentet er et avtaleutkast og bør gjennomgås av juridisk rådgiver før bruk.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