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Revenue rose by </w:t>
      </w:r>
      <w:r>
        <w:rPr>
          <w:b/>
        </w:rPr>
        <w:t>twelve percent</w:t>
      </w:r>
      <w:r>
        <w:t xml:space="preserve"> in </w:t>
      </w:r>
      <w:r>
        <w:rPr>
          <w:i/>
          <w:color w:val="C00000"/>
        </w:rPr>
        <w:t>Riyadh</w:t>
      </w:r>
      <w:r>
        <w:t xml:space="preserve"> and </w:t>
      </w:r>
      <w:r>
        <w:rPr>
          <w:sz w:val="28"/>
          <w:u w:val="single"/>
        </w:rPr>
        <w:t>Jeddah</w:t>
      </w:r>
      <w:r>
        <w:t>.</w:t>
      </w:r>
    </w:p>
    <w:p>
      <w:pPr>
        <w:pStyle w:val="Heading2"/>
      </w:pPr>
      <w:r>
        <w:t>Highlights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ListNumber"/>
      </w:pPr>
      <w:r>
        <w:t>Step three</w:t>
      </w:r>
    </w:p>
    <w:p>
      <w:pPr>
        <w:jc w:val="center"/>
      </w:pPr>
      <w:r>
        <w:t>Centred line</w:t>
      </w:r>
    </w:p>
    <w:p>
      <w:pPr>
        <w:bidi/>
      </w:pPr>
      <w:r>
        <w:rPr>
          <w:rtl/>
        </w:rPr>
        <w:t>نمت الإيرادات بنسبة اثني عشر بالمئة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r0c0</w:t>
            </w:r>
          </w:p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r1c2</w:t>
            </w:r>
          </w:p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After the break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