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1F1F1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4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Gotham Pro Bold Italic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bold;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Gotham Pro Italic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normal;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Gotham Pro Medium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500;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Gotham Pro Black Italic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900;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Gotham Pro Bold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bold;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Gotham Pro Narrow Bold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 Narrow';</w:t>
        <w:br w:type="textWrapping"/>
        <w:t xml:space="preserve">    font-weight: bold;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9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Gotham Pro Narrow Medium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 Narrow';</w:t>
        <w:br w:type="textWrapping"/>
        <w:t xml:space="preserve">    font-weight: 500;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Gotham Pro Light Italic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300;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C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Gotham Pro Light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300;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Gotham Pro Black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900;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F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Gotham Pro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normal;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Gotham Pro Medium Italic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urier New" w:cs="Courier New" w:eastAsia="Courier New" w:hAnsi="Courier New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'Gotham Pro';</w:t>
        <w:br w:type="textWrapping"/>
        <w:t xml:space="preserve">    font-weight: 500;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urier New" w:cs="Courier New" w:eastAsia="Courier New" w:hAnsi="Courier New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rial" w:cs="Arial" w:eastAsia="Arial" w:hAnsi="Arial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1.818181818181817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0" w:before="150" w:line="10" w:lineRule="auto"/>
    </w:pPr>
    <w:rPr>
      <w:b w:val="1"/>
      <w:i w:val="0"/>
      <w:color w:val="ffffff"/>
      <w:sz w:val="48"/>
      <w:szCs w:val="48"/>
      <w:shd w:fill="444444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