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7340" w14:textId="77777777" w:rsidR="00526DA4" w:rsidRDefault="00526DA4" w:rsidP="00526DA4">
      <w:pPr>
        <w:pStyle w:val="No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080"/>
        <w:gridCol w:w="5580"/>
      </w:tblGrid>
      <w:tr w:rsidR="00526DA4" w:rsidRPr="00526DA4" w14:paraId="5A165C0C" w14:textId="77777777" w:rsidTr="00130A79">
        <w:tc>
          <w:tcPr>
            <w:tcW w:w="2019" w:type="pct"/>
            <w:gridSpan w:val="2"/>
            <w:tcBorders>
              <w:top w:val="single" w:sz="12" w:space="0" w:color="auto"/>
            </w:tcBorders>
          </w:tcPr>
          <w:p w14:paraId="2C4755FD" w14:textId="77777777" w:rsidR="00526DA4" w:rsidRPr="00526DA4" w:rsidRDefault="00526DA4" w:rsidP="00526DA4">
            <w:pPr>
              <w:spacing w:before="200" w:after="200" w:line="276" w:lineRule="auto"/>
              <w:rPr>
                <w:b/>
              </w:rPr>
            </w:pPr>
            <w:r w:rsidRPr="00526DA4">
              <w:rPr>
                <w:b/>
              </w:rPr>
              <w:t>Title</w:t>
            </w:r>
          </w:p>
        </w:tc>
        <w:tc>
          <w:tcPr>
            <w:tcW w:w="2981" w:type="pct"/>
            <w:tcBorders>
              <w:top w:val="single" w:sz="12" w:space="0" w:color="auto"/>
            </w:tcBorders>
          </w:tcPr>
          <w:p w14:paraId="47BA8893" w14:textId="6B96F3D8" w:rsidR="001F7C01" w:rsidRPr="00526DA4" w:rsidRDefault="008D4C25" w:rsidP="001F7C01">
            <w:pPr>
              <w:spacing w:before="200" w:after="200" w:line="276" w:lineRule="auto"/>
            </w:pPr>
            <w:r>
              <w:t>The Effect of Potassium on Chronic Kidney Disease</w:t>
            </w:r>
          </w:p>
        </w:tc>
      </w:tr>
      <w:tr w:rsidR="00526DA4" w:rsidRPr="00526DA4" w14:paraId="398EA62F" w14:textId="77777777" w:rsidTr="00EA3502">
        <w:tc>
          <w:tcPr>
            <w:tcW w:w="2019" w:type="pct"/>
            <w:gridSpan w:val="2"/>
          </w:tcPr>
          <w:p w14:paraId="47092D65" w14:textId="77777777" w:rsidR="00526DA4" w:rsidRPr="00526DA4" w:rsidRDefault="00526DA4" w:rsidP="00526DA4">
            <w:pPr>
              <w:spacing w:after="200" w:line="276" w:lineRule="auto"/>
              <w:rPr>
                <w:b/>
              </w:rPr>
            </w:pPr>
            <w:r>
              <w:rPr>
                <w:b/>
              </w:rPr>
              <w:t>Investigator(s)</w:t>
            </w:r>
          </w:p>
        </w:tc>
        <w:tc>
          <w:tcPr>
            <w:tcW w:w="2981" w:type="pct"/>
          </w:tcPr>
          <w:p w14:paraId="461F4B0A" w14:textId="25127964" w:rsidR="00526DA4" w:rsidRPr="001F7C01" w:rsidRDefault="006F3890" w:rsidP="001F7C01">
            <w:pPr>
              <w:spacing w:after="200" w:line="276" w:lineRule="auto"/>
            </w:pPr>
            <w:r>
              <w:t>Tina Davenport, PhD</w:t>
            </w:r>
          </w:p>
        </w:tc>
      </w:tr>
      <w:tr w:rsidR="00526DA4" w:rsidRPr="00526DA4" w14:paraId="105D1313" w14:textId="77777777" w:rsidTr="00EA3502">
        <w:tc>
          <w:tcPr>
            <w:tcW w:w="2019" w:type="pct"/>
            <w:gridSpan w:val="2"/>
          </w:tcPr>
          <w:p w14:paraId="308A33F7" w14:textId="77777777" w:rsidR="00526DA4" w:rsidRPr="00526DA4" w:rsidRDefault="00526DA4" w:rsidP="00526DA4">
            <w:pPr>
              <w:spacing w:after="200" w:line="276" w:lineRule="auto"/>
              <w:rPr>
                <w:b/>
              </w:rPr>
            </w:pPr>
            <w:r w:rsidRPr="00526DA4">
              <w:rPr>
                <w:b/>
              </w:rPr>
              <w:t>Biostatistician(s)</w:t>
            </w:r>
          </w:p>
        </w:tc>
        <w:tc>
          <w:tcPr>
            <w:tcW w:w="2981" w:type="pct"/>
          </w:tcPr>
          <w:p w14:paraId="40F84ADF" w14:textId="3DB4131A" w:rsidR="00526DA4" w:rsidRPr="001F7C01" w:rsidRDefault="00706787" w:rsidP="006F3890">
            <w:pPr>
              <w:spacing w:after="200" w:line="276" w:lineRule="auto"/>
            </w:pPr>
            <w:r>
              <w:t>Brandon Sucher</w:t>
            </w:r>
          </w:p>
        </w:tc>
      </w:tr>
      <w:tr w:rsidR="00526DA4" w:rsidRPr="00526DA4" w14:paraId="6E58CAC1" w14:textId="77777777" w:rsidTr="00EA3502">
        <w:tc>
          <w:tcPr>
            <w:tcW w:w="2019" w:type="pct"/>
            <w:gridSpan w:val="2"/>
          </w:tcPr>
          <w:p w14:paraId="5964A342" w14:textId="77777777" w:rsidR="00526DA4" w:rsidRPr="00526DA4" w:rsidRDefault="00526DA4" w:rsidP="00526DA4">
            <w:pPr>
              <w:spacing w:after="200" w:line="276" w:lineRule="auto"/>
              <w:rPr>
                <w:b/>
              </w:rPr>
            </w:pPr>
            <w:r w:rsidRPr="00526DA4">
              <w:rPr>
                <w:b/>
              </w:rPr>
              <w:t>Original Creation Date</w:t>
            </w:r>
          </w:p>
        </w:tc>
        <w:tc>
          <w:tcPr>
            <w:tcW w:w="2981" w:type="pct"/>
          </w:tcPr>
          <w:p w14:paraId="04D80587" w14:textId="1D4DC047" w:rsidR="00526DA4" w:rsidRPr="001F7C01" w:rsidRDefault="00706787" w:rsidP="001F7C01">
            <w:pPr>
              <w:spacing w:after="200" w:line="276" w:lineRule="auto"/>
            </w:pPr>
            <w:r>
              <w:t>September 1, 2021</w:t>
            </w:r>
          </w:p>
        </w:tc>
      </w:tr>
      <w:tr w:rsidR="00526DA4" w:rsidRPr="00526DA4" w14:paraId="3F6B9FEE" w14:textId="77777777" w:rsidTr="00EA3502">
        <w:tc>
          <w:tcPr>
            <w:tcW w:w="2019" w:type="pct"/>
            <w:gridSpan w:val="2"/>
          </w:tcPr>
          <w:p w14:paraId="550140C8" w14:textId="77777777" w:rsidR="00526DA4" w:rsidRPr="00526DA4" w:rsidRDefault="00526DA4" w:rsidP="00526DA4">
            <w:pPr>
              <w:spacing w:after="200" w:line="276" w:lineRule="auto"/>
              <w:rPr>
                <w:b/>
              </w:rPr>
            </w:pPr>
            <w:r w:rsidRPr="00526DA4">
              <w:rPr>
                <w:b/>
              </w:rPr>
              <w:t>Submission Deadline(s)</w:t>
            </w:r>
          </w:p>
        </w:tc>
        <w:tc>
          <w:tcPr>
            <w:tcW w:w="2981" w:type="pct"/>
          </w:tcPr>
          <w:p w14:paraId="2C1F14BF" w14:textId="709D894B" w:rsidR="00526DA4" w:rsidRPr="001F7C01" w:rsidRDefault="006F3890" w:rsidP="006F3890">
            <w:pPr>
              <w:spacing w:after="200" w:line="276" w:lineRule="auto"/>
              <w:rPr>
                <w:color w:val="FF0000"/>
              </w:rPr>
            </w:pPr>
            <w:r>
              <w:t>Monday, November 22, 2021 at 11:59pm</w:t>
            </w:r>
          </w:p>
        </w:tc>
      </w:tr>
      <w:tr w:rsidR="00526DA4" w:rsidRPr="00526DA4" w14:paraId="739B309F" w14:textId="77777777" w:rsidTr="00130A79">
        <w:tc>
          <w:tcPr>
            <w:tcW w:w="1442" w:type="pct"/>
            <w:tcBorders>
              <w:top w:val="single" w:sz="12" w:space="0" w:color="auto"/>
              <w:bottom w:val="single" w:sz="12" w:space="0" w:color="auto"/>
            </w:tcBorders>
          </w:tcPr>
          <w:p w14:paraId="09D83FEE" w14:textId="77777777" w:rsidR="00526DA4" w:rsidRPr="00526DA4" w:rsidRDefault="00526DA4" w:rsidP="00526DA4">
            <w:pPr>
              <w:rPr>
                <w:rFonts w:ascii="Calibri" w:eastAsia="Calibri" w:hAnsi="Calibri" w:cs="Calibri"/>
                <w:b/>
              </w:rPr>
            </w:pPr>
          </w:p>
          <w:p w14:paraId="48193972" w14:textId="77777777" w:rsidR="00526DA4" w:rsidRPr="00526DA4" w:rsidRDefault="00526DA4" w:rsidP="00526DA4">
            <w:pPr>
              <w:rPr>
                <w:rFonts w:ascii="Calibri" w:eastAsia="Calibri" w:hAnsi="Calibri" w:cs="Calibri"/>
                <w:b/>
              </w:rPr>
            </w:pPr>
            <w:r w:rsidRPr="00526DA4">
              <w:rPr>
                <w:rFonts w:ascii="Calibri" w:eastAsia="Calibri" w:hAnsi="Calibri" w:cs="Calibri"/>
                <w:b/>
              </w:rPr>
              <w:t>Activity Log</w:t>
            </w:r>
          </w:p>
          <w:p w14:paraId="0ABD95CC" w14:textId="77777777" w:rsidR="00526DA4" w:rsidRPr="00526DA4" w:rsidRDefault="00526DA4" w:rsidP="00526DA4">
            <w:pPr>
              <w:rPr>
                <w:rFonts w:ascii="Calibri" w:eastAsia="Calibri" w:hAnsi="Calibri" w:cs="Calibri"/>
                <w:b/>
              </w:rPr>
            </w:pPr>
          </w:p>
        </w:tc>
        <w:tc>
          <w:tcPr>
            <w:tcW w:w="3558" w:type="pct"/>
            <w:gridSpan w:val="2"/>
            <w:tcBorders>
              <w:top w:val="single" w:sz="12" w:space="0" w:color="auto"/>
              <w:bottom w:val="single" w:sz="12" w:space="0" w:color="auto"/>
            </w:tcBorders>
          </w:tcPr>
          <w:p w14:paraId="047A460D" w14:textId="77777777" w:rsidR="004A3E41" w:rsidRDefault="004A3E41" w:rsidP="004A3E41">
            <w:pPr>
              <w:pStyle w:val="NoSpacing"/>
              <w:rPr>
                <w:color w:val="FF0000"/>
              </w:rPr>
            </w:pPr>
          </w:p>
          <w:p w14:paraId="253EC1BD" w14:textId="34673D65" w:rsidR="006F3890" w:rsidRPr="00526DA4" w:rsidRDefault="006F3890" w:rsidP="006F3890">
            <w:pPr>
              <w:spacing w:after="200" w:line="276" w:lineRule="auto"/>
            </w:pPr>
            <w:r w:rsidRPr="006F3890">
              <w:t>08/30/2021 File created</w:t>
            </w:r>
          </w:p>
        </w:tc>
      </w:tr>
    </w:tbl>
    <w:p w14:paraId="23A5301C" w14:textId="77777777" w:rsidR="00AA0AC4" w:rsidRDefault="00AA0AC4" w:rsidP="00AA0AC4"/>
    <w:p w14:paraId="13336ED4" w14:textId="77777777" w:rsidR="00AA0AC4" w:rsidRDefault="00AA0AC4">
      <w:r>
        <w:br w:type="page"/>
      </w:r>
    </w:p>
    <w:p w14:paraId="372F6786" w14:textId="77777777" w:rsidR="00EA16E5" w:rsidRDefault="00EA16E5" w:rsidP="00526DA4">
      <w:pPr>
        <w:pStyle w:val="Heading1"/>
      </w:pPr>
      <w:r w:rsidRPr="00526DA4">
        <w:lastRenderedPageBreak/>
        <w:t>Study Overview</w:t>
      </w:r>
    </w:p>
    <w:p w14:paraId="700DD1FD" w14:textId="50042634" w:rsidR="006F3890" w:rsidRPr="006F3890" w:rsidRDefault="006F3890" w:rsidP="006F3890">
      <w:r>
        <w:t xml:space="preserve">Chronic kidney disease (CKD) affects approximately 37 million adults in the United States, with millions more at increased risk of developing CKD. </w:t>
      </w:r>
      <w:r w:rsidR="00283C0D">
        <w:t>CKD is often accompanied by other comorbid conditions, particularly hypertension, cardiovascular disease, and diabetes</w:t>
      </w:r>
      <w:r w:rsidR="00F83227">
        <w:t>. In addition to addressing these known contributors to CKD, identifying and intervening on other modifiable risk factors could help slow the increase in CKD prevalence. Potassium (K) has been shown to be associated with lower risk of diabetes and cardiovascular outcomes, but its potential impact on CKD is unclear.</w:t>
      </w:r>
      <w:r w:rsidR="00664D2B">
        <w:t xml:space="preserve"> Therefore, the goal of this study is to investigate the relationships between K and CKD among a cohort of participants in the </w:t>
      </w:r>
      <w:r w:rsidR="000D079D" w:rsidRPr="000D079D">
        <w:t>National Health and Nutrition E</w:t>
      </w:r>
      <w:r w:rsidR="000D079D">
        <w:t xml:space="preserve">xamination Survey (NHANES) </w:t>
      </w:r>
      <w:r w:rsidR="000D079D" w:rsidRPr="000D079D">
        <w:t>program</w:t>
      </w:r>
      <w:r w:rsidR="003166B6">
        <w:t>, a</w:t>
      </w:r>
      <w:r w:rsidR="000D079D">
        <w:t xml:space="preserve"> set of </w:t>
      </w:r>
      <w:r w:rsidR="000D079D" w:rsidRPr="000D079D">
        <w:t xml:space="preserve">studies designed to assess the health and nutritional status of adults </w:t>
      </w:r>
      <w:r w:rsidR="000D079D">
        <w:t>(</w:t>
      </w:r>
      <w:r w:rsidR="000D079D" w:rsidRPr="000D079D">
        <w:t>and children</w:t>
      </w:r>
      <w:r w:rsidR="000D079D">
        <w:t>)</w:t>
      </w:r>
      <w:r w:rsidR="000D079D" w:rsidRPr="000D079D">
        <w:t xml:space="preserve"> in the United States. </w:t>
      </w:r>
      <w:r w:rsidR="00F83227">
        <w:t xml:space="preserve"> </w:t>
      </w:r>
    </w:p>
    <w:p w14:paraId="0512DBFA" w14:textId="77777777" w:rsidR="00EA16E5" w:rsidRPr="00526DA4" w:rsidRDefault="00EA16E5" w:rsidP="00526DA4">
      <w:pPr>
        <w:pStyle w:val="Heading2"/>
      </w:pPr>
      <w:r w:rsidRPr="00526DA4">
        <w:t>Study Aims</w:t>
      </w:r>
    </w:p>
    <w:p w14:paraId="3F8DB134" w14:textId="77777777" w:rsidR="00526DA4" w:rsidRDefault="00526DA4" w:rsidP="00526DA4">
      <w:pPr>
        <w:pStyle w:val="Heading3"/>
      </w:pPr>
      <w:r>
        <w:t>Aim 1</w:t>
      </w:r>
    </w:p>
    <w:p w14:paraId="39D3F840" w14:textId="7D903B60" w:rsidR="00EA16E5" w:rsidRDefault="006E4E80" w:rsidP="00E646E8">
      <w:r>
        <w:t>Investigate the association between serum K and CKD.</w:t>
      </w:r>
    </w:p>
    <w:p w14:paraId="13E7795B" w14:textId="77777777" w:rsidR="00526DA4" w:rsidRDefault="00526DA4" w:rsidP="00526DA4">
      <w:pPr>
        <w:pStyle w:val="Heading3"/>
      </w:pPr>
      <w:r>
        <w:t>Aim 2</w:t>
      </w:r>
    </w:p>
    <w:p w14:paraId="32276430" w14:textId="2142DD52" w:rsidR="00526DA4" w:rsidRDefault="006E4E80" w:rsidP="00E646E8">
      <w:r>
        <w:t>Investigate the association between dietary K and CKD.</w:t>
      </w:r>
    </w:p>
    <w:p w14:paraId="30FCA646" w14:textId="5F4BED64" w:rsidR="006E4E80" w:rsidRDefault="00386010" w:rsidP="006E4E80">
      <w:pPr>
        <w:pStyle w:val="Heading3"/>
      </w:pPr>
      <w:r>
        <w:t>Aim 3</w:t>
      </w:r>
    </w:p>
    <w:p w14:paraId="6783A7AA" w14:textId="5649A7BE" w:rsidR="006E4E80" w:rsidRDefault="006E4E80" w:rsidP="006E4E80">
      <w:r>
        <w:t>Investigate the association between serum K and kidney function.</w:t>
      </w:r>
    </w:p>
    <w:p w14:paraId="40C4159A" w14:textId="5778FB0A" w:rsidR="006E4E80" w:rsidRDefault="00386010" w:rsidP="006E4E80">
      <w:pPr>
        <w:pStyle w:val="Heading3"/>
      </w:pPr>
      <w:r>
        <w:t>Aim 4</w:t>
      </w:r>
    </w:p>
    <w:p w14:paraId="3D7D7D8D" w14:textId="35324582" w:rsidR="006E4E80" w:rsidRDefault="006E4E80" w:rsidP="006E4E80">
      <w:r>
        <w:t>Investigate the association between dietary K and kidney function.</w:t>
      </w:r>
    </w:p>
    <w:p w14:paraId="2C3B4DE5" w14:textId="2B81AB01" w:rsidR="00EA16E5" w:rsidRPr="00526DA4" w:rsidRDefault="006E4E80" w:rsidP="00526DA4">
      <w:pPr>
        <w:pStyle w:val="Heading2"/>
      </w:pPr>
      <w:r>
        <w:t>Research</w:t>
      </w:r>
      <w:r w:rsidR="00EA16E5" w:rsidRPr="00526DA4">
        <w:t xml:space="preserve"> Hypotheses</w:t>
      </w:r>
    </w:p>
    <w:p w14:paraId="7A281677" w14:textId="77777777" w:rsidR="00526DA4" w:rsidRDefault="00526DA4" w:rsidP="00526DA4">
      <w:pPr>
        <w:pStyle w:val="Heading3"/>
      </w:pPr>
      <w:r>
        <w:t>Hypothesis 1</w:t>
      </w:r>
    </w:p>
    <w:p w14:paraId="1EC14CC1" w14:textId="4EB11418" w:rsidR="006E4E80" w:rsidRPr="006E4E80" w:rsidRDefault="00E16961" w:rsidP="006E4E80">
      <w:r>
        <w:t>Higher serum K</w:t>
      </w:r>
      <w:r w:rsidR="0049019D">
        <w:t xml:space="preserve"> will be associated with </w:t>
      </w:r>
      <w:r w:rsidR="004845F8">
        <w:t>negative CKD status.</w:t>
      </w:r>
    </w:p>
    <w:p w14:paraId="63E6E24B" w14:textId="0BF05316" w:rsidR="006E4E80" w:rsidRDefault="006E4E80" w:rsidP="006E4E80">
      <w:pPr>
        <w:pStyle w:val="Heading3"/>
      </w:pPr>
      <w:r>
        <w:t>Hypothesis 2</w:t>
      </w:r>
    </w:p>
    <w:p w14:paraId="5CCF5751" w14:textId="021D2D27" w:rsidR="00B54819" w:rsidRPr="006E4E80" w:rsidRDefault="00B54819" w:rsidP="00B54819">
      <w:r>
        <w:t>Higher dietary K will be associated with negative CKD status.</w:t>
      </w:r>
    </w:p>
    <w:p w14:paraId="491DEFD5" w14:textId="3B26BD42" w:rsidR="006E4E80" w:rsidRDefault="006E4E80" w:rsidP="006E4E80">
      <w:pPr>
        <w:pStyle w:val="Heading3"/>
      </w:pPr>
      <w:r>
        <w:t>Hypothesis 3</w:t>
      </w:r>
    </w:p>
    <w:p w14:paraId="1C869287" w14:textId="109D145E" w:rsidR="006E4E80" w:rsidRPr="006E4E80" w:rsidRDefault="003772E7" w:rsidP="006E4E80">
      <w:r>
        <w:t xml:space="preserve">Higher </w:t>
      </w:r>
      <w:r w:rsidR="00C8509E">
        <w:t xml:space="preserve">serum K will be associated with </w:t>
      </w:r>
      <w:r w:rsidR="005A52EC">
        <w:t>better kidney function.</w:t>
      </w:r>
    </w:p>
    <w:p w14:paraId="06C3F928" w14:textId="359DF7CE" w:rsidR="006E4E80" w:rsidRDefault="006E4E80" w:rsidP="006E4E80">
      <w:pPr>
        <w:pStyle w:val="Heading3"/>
      </w:pPr>
      <w:r>
        <w:t>Hypothesis 4</w:t>
      </w:r>
    </w:p>
    <w:p w14:paraId="64B8A48A" w14:textId="581CFBB6" w:rsidR="005A52EC" w:rsidRPr="006E4E80" w:rsidRDefault="005A52EC" w:rsidP="005A52EC">
      <w:r>
        <w:t xml:space="preserve">Higher </w:t>
      </w:r>
      <w:r w:rsidR="001E2099">
        <w:t>dietary</w:t>
      </w:r>
      <w:r>
        <w:t xml:space="preserve"> K will be associated with better kidney function.</w:t>
      </w:r>
    </w:p>
    <w:p w14:paraId="0529F548" w14:textId="27C47B8F" w:rsidR="00EA16E5" w:rsidRDefault="00EA16E5" w:rsidP="00526DA4">
      <w:pPr>
        <w:pStyle w:val="Heading1"/>
      </w:pPr>
      <w:r w:rsidRPr="00526DA4">
        <w:t>Study Population</w:t>
      </w:r>
    </w:p>
    <w:p w14:paraId="37C4DE5D" w14:textId="4C05EB41" w:rsidR="003166B6" w:rsidRPr="003166B6" w:rsidRDefault="003166B6" w:rsidP="003166B6">
      <w:r>
        <w:t xml:space="preserve">The dataset comes from the </w:t>
      </w:r>
      <w:r w:rsidRPr="003166B6">
        <w:t>National Health and Nutrition Examination Survey (NHANES) program</w:t>
      </w:r>
      <w:r>
        <w:t xml:space="preserve">, which has been </w:t>
      </w:r>
      <w:hyperlink r:id="rId8" w:history="1">
        <w:r w:rsidRPr="003166B6">
          <w:rPr>
            <w:rStyle w:val="Hyperlink"/>
          </w:rPr>
          <w:t>described in detail</w:t>
        </w:r>
      </w:hyperlink>
      <w:r>
        <w:t xml:space="preserve"> previously. A subset of 350 participants from the 2017-2018 survey were used as the initial sample for this study. </w:t>
      </w:r>
    </w:p>
    <w:p w14:paraId="35B37C4F" w14:textId="2E846286" w:rsidR="00EA16E5" w:rsidRPr="00526DA4" w:rsidRDefault="00A93B3E" w:rsidP="00526DA4">
      <w:pPr>
        <w:pStyle w:val="Heading2"/>
      </w:pPr>
      <w:r w:rsidRPr="00526DA4">
        <w:lastRenderedPageBreak/>
        <w:t>Inclusion</w:t>
      </w:r>
      <w:r w:rsidR="003166B6">
        <w:t>/Exclusion</w:t>
      </w:r>
      <w:r w:rsidRPr="00526DA4">
        <w:t xml:space="preserve"> Criteria</w:t>
      </w:r>
    </w:p>
    <w:p w14:paraId="00E683F9" w14:textId="7258F845" w:rsidR="003166B6" w:rsidRDefault="003166B6" w:rsidP="00E646E8">
      <w:r>
        <w:t>Only those with complete data on CKD status and serum K will be included in the analyses.</w:t>
      </w:r>
    </w:p>
    <w:p w14:paraId="41B4C288" w14:textId="63C14AE1" w:rsidR="00A93B3E" w:rsidRPr="00A93B3E" w:rsidRDefault="003166B6" w:rsidP="00E646E8">
      <w:r>
        <w:t>For each aim separately, those with additional missing data will be excluded as needed to perform the analyses.</w:t>
      </w:r>
    </w:p>
    <w:p w14:paraId="3797CA85" w14:textId="77777777" w:rsidR="00B52C73" w:rsidRPr="00526DA4" w:rsidRDefault="00B52C73" w:rsidP="00526DA4">
      <w:pPr>
        <w:pStyle w:val="Heading2"/>
      </w:pPr>
      <w:r w:rsidRPr="00526DA4">
        <w:t>Data Acquisition</w:t>
      </w:r>
    </w:p>
    <w:tbl>
      <w:tblPr>
        <w:tblStyle w:val="TableGrid"/>
        <w:tblW w:w="5000" w:type="pct"/>
        <w:tblLook w:val="04A0" w:firstRow="1" w:lastRow="0" w:firstColumn="1" w:lastColumn="0" w:noHBand="0" w:noVBand="1"/>
      </w:tblPr>
      <w:tblGrid>
        <w:gridCol w:w="4675"/>
        <w:gridCol w:w="4675"/>
      </w:tblGrid>
      <w:tr w:rsidR="00843C30" w:rsidRPr="00CC18C2" w14:paraId="57D84493" w14:textId="77777777" w:rsidTr="00A65408">
        <w:tc>
          <w:tcPr>
            <w:tcW w:w="2500" w:type="pct"/>
          </w:tcPr>
          <w:p w14:paraId="3BE4C147" w14:textId="77777777" w:rsidR="00843C30" w:rsidRPr="00CC18C2" w:rsidRDefault="00843C30" w:rsidP="0067007A">
            <w:pPr>
              <w:autoSpaceDE w:val="0"/>
              <w:autoSpaceDN w:val="0"/>
              <w:adjustRightInd w:val="0"/>
              <w:rPr>
                <w:rFonts w:cstheme="minorHAnsi"/>
              </w:rPr>
            </w:pPr>
            <w:r>
              <w:rPr>
                <w:rFonts w:cstheme="minorHAnsi"/>
              </w:rPr>
              <w:t>Study design</w:t>
            </w:r>
          </w:p>
        </w:tc>
        <w:tc>
          <w:tcPr>
            <w:tcW w:w="2500" w:type="pct"/>
          </w:tcPr>
          <w:p w14:paraId="51D79E14" w14:textId="5F92A0E2" w:rsidR="00843C30" w:rsidRPr="00CC18C2" w:rsidRDefault="006574B1" w:rsidP="0067007A">
            <w:pPr>
              <w:autoSpaceDE w:val="0"/>
              <w:autoSpaceDN w:val="0"/>
              <w:adjustRightInd w:val="0"/>
              <w:rPr>
                <w:rFonts w:cstheme="minorHAnsi"/>
              </w:rPr>
            </w:pPr>
            <w:r>
              <w:rPr>
                <w:rFonts w:cstheme="minorHAnsi"/>
              </w:rPr>
              <w:t xml:space="preserve">Retrospective, cohort, </w:t>
            </w:r>
            <w:r w:rsidR="00BF226D">
              <w:rPr>
                <w:rFonts w:cstheme="minorHAnsi"/>
              </w:rPr>
              <w:t>cross-sectional, observational study</w:t>
            </w:r>
          </w:p>
        </w:tc>
      </w:tr>
      <w:tr w:rsidR="00A65408" w:rsidRPr="00CC18C2" w14:paraId="36B76DEE" w14:textId="77777777" w:rsidTr="00A65408">
        <w:tc>
          <w:tcPr>
            <w:tcW w:w="2500" w:type="pct"/>
          </w:tcPr>
          <w:p w14:paraId="1ECB970B" w14:textId="77777777" w:rsidR="00A65408" w:rsidRPr="00CC18C2" w:rsidRDefault="00A65408" w:rsidP="0067007A">
            <w:pPr>
              <w:autoSpaceDE w:val="0"/>
              <w:autoSpaceDN w:val="0"/>
              <w:adjustRightInd w:val="0"/>
              <w:rPr>
                <w:rFonts w:cstheme="minorHAnsi"/>
              </w:rPr>
            </w:pPr>
            <w:r w:rsidRPr="00CC18C2">
              <w:rPr>
                <w:rFonts w:cstheme="minorHAnsi"/>
              </w:rPr>
              <w:t>Data source/how the data were collected</w:t>
            </w:r>
          </w:p>
        </w:tc>
        <w:tc>
          <w:tcPr>
            <w:tcW w:w="2500" w:type="pct"/>
          </w:tcPr>
          <w:p w14:paraId="036E3A18" w14:textId="40E16DCF" w:rsidR="00A65408" w:rsidRPr="00CC18C2" w:rsidRDefault="009819D8" w:rsidP="0067007A">
            <w:pPr>
              <w:autoSpaceDE w:val="0"/>
              <w:autoSpaceDN w:val="0"/>
              <w:adjustRightInd w:val="0"/>
              <w:rPr>
                <w:rFonts w:cstheme="minorHAnsi"/>
              </w:rPr>
            </w:pPr>
            <w:r w:rsidRPr="009819D8">
              <w:t>NHANES 2017-2018; data collection is well documented on the</w:t>
            </w:r>
            <w:r>
              <w:rPr>
                <w:rFonts w:cstheme="minorHAnsi"/>
              </w:rPr>
              <w:t xml:space="preserve"> </w:t>
            </w:r>
            <w:hyperlink r:id="rId9" w:history="1">
              <w:r w:rsidRPr="00F44EEC">
                <w:rPr>
                  <w:rStyle w:val="Hyperlink"/>
                  <w:rFonts w:cstheme="minorHAnsi"/>
                </w:rPr>
                <w:t>NHANES website</w:t>
              </w:r>
            </w:hyperlink>
          </w:p>
        </w:tc>
      </w:tr>
      <w:tr w:rsidR="00A65408" w:rsidRPr="00CC18C2" w14:paraId="5928ED28" w14:textId="77777777" w:rsidTr="00A65408">
        <w:tc>
          <w:tcPr>
            <w:tcW w:w="2500" w:type="pct"/>
          </w:tcPr>
          <w:p w14:paraId="36011AAE" w14:textId="77777777" w:rsidR="00A65408" w:rsidRPr="00CC18C2" w:rsidRDefault="00A65408" w:rsidP="0067007A">
            <w:pPr>
              <w:autoSpaceDE w:val="0"/>
              <w:autoSpaceDN w:val="0"/>
              <w:adjustRightInd w:val="0"/>
              <w:rPr>
                <w:rFonts w:cstheme="minorHAnsi"/>
              </w:rPr>
            </w:pPr>
            <w:r w:rsidRPr="00CC18C2">
              <w:rPr>
                <w:rFonts w:cstheme="minorHAnsi"/>
              </w:rPr>
              <w:t>Contact information for team member responsible for data collection/acquisition</w:t>
            </w:r>
          </w:p>
        </w:tc>
        <w:tc>
          <w:tcPr>
            <w:tcW w:w="2500" w:type="pct"/>
          </w:tcPr>
          <w:p w14:paraId="6369492B" w14:textId="0D358774" w:rsidR="00A65408" w:rsidRPr="00CC18C2" w:rsidRDefault="00CA4F8E" w:rsidP="009819D8">
            <w:pPr>
              <w:autoSpaceDE w:val="0"/>
              <w:autoSpaceDN w:val="0"/>
              <w:adjustRightInd w:val="0"/>
              <w:rPr>
                <w:rFonts w:cstheme="minorHAnsi"/>
              </w:rPr>
            </w:pPr>
            <w:hyperlink r:id="rId10" w:history="1">
              <w:r w:rsidR="009819D8" w:rsidRPr="006D0128">
                <w:rPr>
                  <w:rStyle w:val="Hyperlink"/>
                  <w:rFonts w:cstheme="minorHAnsi"/>
                </w:rPr>
                <w:t>Tina.Davenport@duke.edu</w:t>
              </w:r>
            </w:hyperlink>
            <w:r w:rsidR="009819D8">
              <w:rPr>
                <w:rFonts w:cstheme="minorHAnsi"/>
              </w:rPr>
              <w:t xml:space="preserve"> for data acquisition</w:t>
            </w:r>
          </w:p>
        </w:tc>
      </w:tr>
      <w:tr w:rsidR="00A65408" w:rsidRPr="00CC18C2" w14:paraId="3F437B91" w14:textId="77777777" w:rsidTr="00A65408">
        <w:tc>
          <w:tcPr>
            <w:tcW w:w="2500" w:type="pct"/>
          </w:tcPr>
          <w:p w14:paraId="121EFF03" w14:textId="77777777" w:rsidR="00A65408" w:rsidRPr="00CC18C2" w:rsidRDefault="00A65408" w:rsidP="0067007A">
            <w:pPr>
              <w:autoSpaceDE w:val="0"/>
              <w:autoSpaceDN w:val="0"/>
              <w:adjustRightInd w:val="0"/>
              <w:rPr>
                <w:rFonts w:cstheme="minorHAnsi"/>
              </w:rPr>
            </w:pPr>
            <w:r w:rsidRPr="00CC18C2">
              <w:rPr>
                <w:rFonts w:cstheme="minorHAnsi"/>
              </w:rPr>
              <w:t>Date or version (if downloaded, provide date)</w:t>
            </w:r>
          </w:p>
        </w:tc>
        <w:tc>
          <w:tcPr>
            <w:tcW w:w="2500" w:type="pct"/>
          </w:tcPr>
          <w:p w14:paraId="4A29C3A5" w14:textId="38D5F79E" w:rsidR="00A65408" w:rsidRPr="00CC18C2" w:rsidRDefault="009819D8" w:rsidP="009819D8">
            <w:pPr>
              <w:autoSpaceDE w:val="0"/>
              <w:autoSpaceDN w:val="0"/>
              <w:adjustRightInd w:val="0"/>
              <w:rPr>
                <w:rFonts w:cstheme="minorHAnsi"/>
              </w:rPr>
            </w:pPr>
            <w:r w:rsidRPr="009819D8">
              <w:rPr>
                <w:rFonts w:cstheme="minorHAnsi"/>
              </w:rPr>
              <w:t>20</w:t>
            </w:r>
            <w:r>
              <w:rPr>
                <w:rFonts w:cstheme="minorHAnsi"/>
              </w:rPr>
              <w:t>17-2018 NHANES data downloaded o</w:t>
            </w:r>
            <w:r w:rsidRPr="009819D8">
              <w:rPr>
                <w:rFonts w:cstheme="minorHAnsi"/>
              </w:rPr>
              <w:t>n April</w:t>
            </w:r>
            <w:r>
              <w:rPr>
                <w:rFonts w:cstheme="minorHAnsi"/>
              </w:rPr>
              <w:t xml:space="preserve"> 21-22</w:t>
            </w:r>
            <w:r w:rsidRPr="009819D8">
              <w:rPr>
                <w:rFonts w:cstheme="minorHAnsi"/>
              </w:rPr>
              <w:t>, 2021</w:t>
            </w:r>
            <w:r>
              <w:rPr>
                <w:rFonts w:cstheme="minorHAnsi"/>
              </w:rPr>
              <w:t>.</w:t>
            </w:r>
          </w:p>
        </w:tc>
      </w:tr>
      <w:tr w:rsidR="00A65408" w:rsidRPr="00CC18C2" w14:paraId="0388BEEE" w14:textId="77777777" w:rsidTr="00A65408">
        <w:tc>
          <w:tcPr>
            <w:tcW w:w="2500" w:type="pct"/>
          </w:tcPr>
          <w:p w14:paraId="1AE82F5D" w14:textId="77777777" w:rsidR="00A65408" w:rsidRPr="00CC18C2" w:rsidRDefault="00A65408" w:rsidP="0067007A">
            <w:pPr>
              <w:autoSpaceDE w:val="0"/>
              <w:autoSpaceDN w:val="0"/>
              <w:adjustRightInd w:val="0"/>
              <w:rPr>
                <w:rFonts w:cstheme="minorHAnsi"/>
              </w:rPr>
            </w:pPr>
            <w:r w:rsidRPr="00CC18C2">
              <w:rPr>
                <w:rFonts w:cstheme="minorHAnsi"/>
              </w:rPr>
              <w:t>Data transfer method and date</w:t>
            </w:r>
          </w:p>
        </w:tc>
        <w:tc>
          <w:tcPr>
            <w:tcW w:w="2500" w:type="pct"/>
          </w:tcPr>
          <w:p w14:paraId="7E484D5F" w14:textId="77777777" w:rsidR="009819D8" w:rsidRDefault="009819D8" w:rsidP="009819D8">
            <w:pPr>
              <w:autoSpaceDE w:val="0"/>
              <w:autoSpaceDN w:val="0"/>
              <w:adjustRightInd w:val="0"/>
              <w:rPr>
                <w:rFonts w:cstheme="minorHAnsi"/>
              </w:rPr>
            </w:pPr>
            <w:r>
              <w:rPr>
                <w:rFonts w:cstheme="minorHAnsi"/>
              </w:rPr>
              <w:t xml:space="preserve">Data downloaded directly from the </w:t>
            </w:r>
            <w:hyperlink r:id="rId11" w:history="1">
              <w:r w:rsidRPr="00F44EEC">
                <w:rPr>
                  <w:rStyle w:val="Hyperlink"/>
                  <w:rFonts w:cstheme="minorHAnsi"/>
                </w:rPr>
                <w:t>NHANES website</w:t>
              </w:r>
            </w:hyperlink>
            <w:r>
              <w:rPr>
                <w:rFonts w:cstheme="minorHAnsi"/>
              </w:rPr>
              <w:t xml:space="preserve"> on April 21-22, 2021. </w:t>
            </w:r>
          </w:p>
          <w:p w14:paraId="775958D5" w14:textId="77777777" w:rsidR="009819D8" w:rsidRDefault="009819D8" w:rsidP="009819D8">
            <w:pPr>
              <w:autoSpaceDE w:val="0"/>
              <w:autoSpaceDN w:val="0"/>
              <w:adjustRightInd w:val="0"/>
              <w:rPr>
                <w:rFonts w:cstheme="minorHAnsi"/>
              </w:rPr>
            </w:pPr>
          </w:p>
          <w:p w14:paraId="586DB36A" w14:textId="2C3426E8" w:rsidR="00A65408" w:rsidRPr="00CC18C2" w:rsidRDefault="009819D8" w:rsidP="009819D8">
            <w:pPr>
              <w:autoSpaceDE w:val="0"/>
              <w:autoSpaceDN w:val="0"/>
              <w:adjustRightInd w:val="0"/>
              <w:rPr>
                <w:rFonts w:cstheme="minorHAnsi"/>
              </w:rPr>
            </w:pPr>
            <w:r>
              <w:rPr>
                <w:rFonts w:cstheme="minorHAnsi"/>
              </w:rPr>
              <w:t>Analysis dataset finalized on August 27, 2021</w:t>
            </w:r>
          </w:p>
        </w:tc>
      </w:tr>
      <w:tr w:rsidR="00A65408" w:rsidRPr="00CC18C2" w14:paraId="2C3B1860" w14:textId="77777777" w:rsidTr="00A65408">
        <w:tc>
          <w:tcPr>
            <w:tcW w:w="2500" w:type="pct"/>
          </w:tcPr>
          <w:p w14:paraId="301166A3" w14:textId="77777777" w:rsidR="00A65408" w:rsidRPr="00CC18C2" w:rsidRDefault="00A65408" w:rsidP="0067007A">
            <w:pPr>
              <w:autoSpaceDE w:val="0"/>
              <w:autoSpaceDN w:val="0"/>
              <w:adjustRightInd w:val="0"/>
              <w:rPr>
                <w:rFonts w:cstheme="minorHAnsi"/>
              </w:rPr>
            </w:pPr>
            <w:r w:rsidRPr="00CC18C2">
              <w:rPr>
                <w:rFonts w:cstheme="minorHAnsi"/>
              </w:rPr>
              <w:t>Where dataset is stored</w:t>
            </w:r>
          </w:p>
        </w:tc>
        <w:tc>
          <w:tcPr>
            <w:tcW w:w="2500" w:type="pct"/>
          </w:tcPr>
          <w:p w14:paraId="269B3B35" w14:textId="2EB38611" w:rsidR="00A65408" w:rsidRPr="00CC18C2" w:rsidRDefault="00A65408" w:rsidP="0067007A">
            <w:pPr>
              <w:autoSpaceDE w:val="0"/>
              <w:autoSpaceDN w:val="0"/>
              <w:adjustRightInd w:val="0"/>
              <w:rPr>
                <w:rFonts w:cstheme="minorHAnsi"/>
              </w:rPr>
            </w:pPr>
          </w:p>
        </w:tc>
      </w:tr>
    </w:tbl>
    <w:p w14:paraId="7222F696" w14:textId="77777777" w:rsidR="00A65408" w:rsidRDefault="00A65408" w:rsidP="00A65408"/>
    <w:p w14:paraId="2E5B22E6" w14:textId="77777777" w:rsidR="00E646E8" w:rsidRPr="00526DA4" w:rsidRDefault="00E646E8" w:rsidP="00E646E8">
      <w:pPr>
        <w:pStyle w:val="Heading1"/>
      </w:pPr>
      <w:r w:rsidRPr="00526DA4">
        <w:t>Outcomes</w:t>
      </w:r>
      <w:r w:rsidR="00E3055C">
        <w:t>,</w:t>
      </w:r>
      <w:r w:rsidRPr="00526DA4">
        <w:t xml:space="preserve"> Exposures</w:t>
      </w:r>
      <w:r w:rsidR="00E3055C">
        <w:t>, and Variables of Interest</w:t>
      </w:r>
    </w:p>
    <w:p w14:paraId="7956B01C" w14:textId="19D85194" w:rsidR="00E3055C" w:rsidRDefault="00E3055C" w:rsidP="00E3055C">
      <w:pPr>
        <w:pStyle w:val="Heading2"/>
      </w:pPr>
      <w:r>
        <w:t>Primary Outcome(s)</w:t>
      </w:r>
    </w:p>
    <w:p w14:paraId="1BB2E6DF" w14:textId="69E48D50" w:rsidR="00772396" w:rsidRPr="007B0000" w:rsidRDefault="00A67E1A" w:rsidP="00090CEB">
      <w:r>
        <w:t>The primar</w:t>
      </w:r>
      <w:r w:rsidR="00090CEB">
        <w:t>y outcome is CKD. We will treat CKD as a binary variable, and we will also use eGFR as a proxy for general kidney function.</w:t>
      </w:r>
    </w:p>
    <w:tbl>
      <w:tblPr>
        <w:tblStyle w:val="TableGrid"/>
        <w:tblW w:w="9360" w:type="dxa"/>
        <w:tblLook w:val="04A0" w:firstRow="1" w:lastRow="0" w:firstColumn="1" w:lastColumn="0" w:noHBand="0" w:noVBand="1"/>
      </w:tblPr>
      <w:tblGrid>
        <w:gridCol w:w="2160"/>
        <w:gridCol w:w="3600"/>
        <w:gridCol w:w="3600"/>
      </w:tblGrid>
      <w:tr w:rsidR="00772396" w:rsidRPr="002A5428" w14:paraId="24AE8071" w14:textId="77777777" w:rsidTr="0011132D">
        <w:trPr>
          <w:trHeight w:val="54"/>
        </w:trPr>
        <w:tc>
          <w:tcPr>
            <w:tcW w:w="2160" w:type="dxa"/>
          </w:tcPr>
          <w:p w14:paraId="394FB1CF" w14:textId="77777777" w:rsidR="00772396" w:rsidRPr="002A5428" w:rsidRDefault="00772396" w:rsidP="0011132D">
            <w:pPr>
              <w:pStyle w:val="NoSpacing"/>
              <w:rPr>
                <w:rFonts w:ascii="Arial Narrow" w:hAnsi="Arial Narrow"/>
                <w:sz w:val="20"/>
                <w:szCs w:val="20"/>
              </w:rPr>
            </w:pPr>
            <w:r w:rsidRPr="002A5428">
              <w:rPr>
                <w:rFonts w:ascii="Arial Narrow" w:hAnsi="Arial Narrow"/>
                <w:sz w:val="20"/>
                <w:szCs w:val="20"/>
              </w:rPr>
              <w:t>Outcome</w:t>
            </w:r>
          </w:p>
        </w:tc>
        <w:tc>
          <w:tcPr>
            <w:tcW w:w="3600" w:type="dxa"/>
          </w:tcPr>
          <w:p w14:paraId="41651FE6" w14:textId="77777777" w:rsidR="00772396" w:rsidRPr="002A5428" w:rsidRDefault="00772396" w:rsidP="0011132D">
            <w:pPr>
              <w:pStyle w:val="NoSpacing"/>
              <w:rPr>
                <w:rFonts w:ascii="Arial Narrow" w:hAnsi="Arial Narrow"/>
                <w:sz w:val="20"/>
                <w:szCs w:val="20"/>
              </w:rPr>
            </w:pPr>
            <w:r w:rsidRPr="002A5428">
              <w:rPr>
                <w:rFonts w:ascii="Arial Narrow" w:hAnsi="Arial Narrow"/>
                <w:sz w:val="20"/>
                <w:szCs w:val="20"/>
              </w:rPr>
              <w:t>Description</w:t>
            </w:r>
          </w:p>
        </w:tc>
        <w:tc>
          <w:tcPr>
            <w:tcW w:w="3600" w:type="dxa"/>
          </w:tcPr>
          <w:p w14:paraId="5F85A241" w14:textId="75109C25" w:rsidR="00772396" w:rsidRPr="002A5428" w:rsidRDefault="00772396" w:rsidP="0011132D">
            <w:pPr>
              <w:pStyle w:val="NoSpacing"/>
              <w:rPr>
                <w:rFonts w:ascii="Arial Narrow" w:hAnsi="Arial Narrow"/>
                <w:sz w:val="20"/>
                <w:szCs w:val="20"/>
              </w:rPr>
            </w:pPr>
            <w:r w:rsidRPr="002A5428">
              <w:rPr>
                <w:rFonts w:ascii="Arial Narrow" w:hAnsi="Arial Narrow"/>
                <w:sz w:val="20"/>
                <w:szCs w:val="20"/>
              </w:rPr>
              <w:t>Specifications</w:t>
            </w:r>
            <w:r w:rsidR="003B0207">
              <w:rPr>
                <w:rFonts w:ascii="Arial Narrow" w:hAnsi="Arial Narrow"/>
                <w:sz w:val="20"/>
                <w:szCs w:val="20"/>
              </w:rPr>
              <w:t xml:space="preserve"> / Notes</w:t>
            </w:r>
          </w:p>
        </w:tc>
      </w:tr>
      <w:tr w:rsidR="00772396" w:rsidRPr="002A5428" w14:paraId="7D6B0A58" w14:textId="77777777" w:rsidTr="0011132D">
        <w:trPr>
          <w:trHeight w:val="54"/>
        </w:trPr>
        <w:tc>
          <w:tcPr>
            <w:tcW w:w="2160" w:type="dxa"/>
          </w:tcPr>
          <w:p w14:paraId="5C72BB6B" w14:textId="19BAA515" w:rsidR="00772396" w:rsidRPr="002A5428" w:rsidRDefault="00090CEB" w:rsidP="0011132D">
            <w:pPr>
              <w:pStyle w:val="NoSpacing"/>
              <w:rPr>
                <w:rFonts w:ascii="Arial Narrow" w:hAnsi="Arial Narrow"/>
                <w:sz w:val="20"/>
                <w:szCs w:val="20"/>
              </w:rPr>
            </w:pPr>
            <w:r>
              <w:rPr>
                <w:rFonts w:ascii="Arial Narrow" w:hAnsi="Arial Narrow"/>
                <w:sz w:val="20"/>
                <w:szCs w:val="20"/>
              </w:rPr>
              <w:t>CKD</w:t>
            </w:r>
          </w:p>
        </w:tc>
        <w:tc>
          <w:tcPr>
            <w:tcW w:w="3600" w:type="dxa"/>
          </w:tcPr>
          <w:p w14:paraId="10E21F76" w14:textId="3CA4BB01" w:rsidR="003B0207" w:rsidRDefault="00090CEB" w:rsidP="0011132D">
            <w:pPr>
              <w:pStyle w:val="NoSpacing"/>
              <w:rPr>
                <w:rFonts w:ascii="Arial Narrow" w:hAnsi="Arial Narrow"/>
                <w:sz w:val="20"/>
                <w:szCs w:val="20"/>
              </w:rPr>
            </w:pPr>
            <w:r w:rsidRPr="00090CEB">
              <w:rPr>
                <w:rFonts w:ascii="Arial Narrow" w:hAnsi="Arial Narrow"/>
                <w:sz w:val="20"/>
                <w:szCs w:val="20"/>
              </w:rPr>
              <w:t>C</w:t>
            </w:r>
            <w:r w:rsidR="007F13EE">
              <w:rPr>
                <w:rFonts w:ascii="Arial Narrow" w:hAnsi="Arial Narrow"/>
                <w:sz w:val="20"/>
                <w:szCs w:val="20"/>
              </w:rPr>
              <w:t>hronic kidney disease</w:t>
            </w:r>
          </w:p>
          <w:p w14:paraId="1A726733" w14:textId="77777777" w:rsidR="003B0207" w:rsidRDefault="003B0207" w:rsidP="0011132D">
            <w:pPr>
              <w:pStyle w:val="NoSpacing"/>
              <w:rPr>
                <w:rFonts w:ascii="Arial Narrow" w:hAnsi="Arial Narrow"/>
                <w:sz w:val="20"/>
                <w:szCs w:val="20"/>
              </w:rPr>
            </w:pPr>
          </w:p>
          <w:p w14:paraId="0A646345" w14:textId="77777777" w:rsidR="00772396" w:rsidRDefault="003B0207" w:rsidP="0011132D">
            <w:pPr>
              <w:pStyle w:val="NoSpacing"/>
              <w:rPr>
                <w:rFonts w:ascii="Arial Narrow" w:hAnsi="Arial Narrow"/>
                <w:sz w:val="20"/>
                <w:szCs w:val="20"/>
              </w:rPr>
            </w:pPr>
            <w:r>
              <w:rPr>
                <w:rFonts w:ascii="Arial Narrow" w:hAnsi="Arial Narrow"/>
                <w:sz w:val="20"/>
                <w:szCs w:val="20"/>
              </w:rPr>
              <w:t>No CKD is defined as eGFR≥60 AND ACR &lt;30.</w:t>
            </w:r>
          </w:p>
          <w:p w14:paraId="021E5513" w14:textId="77777777" w:rsidR="003B0207" w:rsidRDefault="003B0207" w:rsidP="0011132D">
            <w:pPr>
              <w:pStyle w:val="NoSpacing"/>
              <w:rPr>
                <w:rFonts w:ascii="Arial Narrow" w:hAnsi="Arial Narrow"/>
                <w:sz w:val="20"/>
                <w:szCs w:val="20"/>
              </w:rPr>
            </w:pPr>
          </w:p>
          <w:p w14:paraId="388CDC33" w14:textId="3F3FD405" w:rsidR="003B0207" w:rsidRPr="002A5428" w:rsidRDefault="003B0207" w:rsidP="0011132D">
            <w:pPr>
              <w:pStyle w:val="NoSpacing"/>
              <w:rPr>
                <w:rFonts w:ascii="Arial Narrow" w:hAnsi="Arial Narrow"/>
                <w:sz w:val="20"/>
                <w:szCs w:val="20"/>
              </w:rPr>
            </w:pPr>
            <w:r>
              <w:rPr>
                <w:rFonts w:ascii="Arial Narrow" w:hAnsi="Arial Narrow"/>
                <w:sz w:val="20"/>
                <w:szCs w:val="20"/>
              </w:rPr>
              <w:t>CKD is defined as eGFR &lt;60 OR ACR ≥30.</w:t>
            </w:r>
          </w:p>
        </w:tc>
        <w:tc>
          <w:tcPr>
            <w:tcW w:w="3600" w:type="dxa"/>
          </w:tcPr>
          <w:p w14:paraId="16DA2F5F" w14:textId="47A64B46" w:rsidR="003B0207" w:rsidRDefault="003B0207" w:rsidP="0011132D">
            <w:pPr>
              <w:pStyle w:val="NoSpacing"/>
              <w:rPr>
                <w:rFonts w:ascii="Arial Narrow" w:hAnsi="Arial Narrow"/>
                <w:sz w:val="20"/>
                <w:szCs w:val="20"/>
              </w:rPr>
            </w:pPr>
            <w:r>
              <w:rPr>
                <w:rFonts w:ascii="Arial Narrow" w:hAnsi="Arial Narrow"/>
                <w:sz w:val="20"/>
                <w:szCs w:val="20"/>
              </w:rPr>
              <w:t>A</w:t>
            </w:r>
            <w:r w:rsidR="00543E7E">
              <w:rPr>
                <w:rFonts w:ascii="Arial Narrow" w:hAnsi="Arial Narrow"/>
                <w:sz w:val="20"/>
                <w:szCs w:val="20"/>
              </w:rPr>
              <w:t xml:space="preserve"> derived</w:t>
            </w:r>
            <w:r>
              <w:rPr>
                <w:rFonts w:ascii="Arial Narrow" w:hAnsi="Arial Narrow"/>
                <w:sz w:val="20"/>
                <w:szCs w:val="20"/>
              </w:rPr>
              <w:t xml:space="preserve"> binary variable where</w:t>
            </w:r>
          </w:p>
          <w:p w14:paraId="0EE872B0" w14:textId="43E081A3" w:rsidR="00772396" w:rsidRDefault="00772396" w:rsidP="0011132D">
            <w:pPr>
              <w:pStyle w:val="NoSpacing"/>
              <w:rPr>
                <w:rFonts w:ascii="Arial Narrow" w:hAnsi="Arial Narrow"/>
                <w:sz w:val="20"/>
                <w:szCs w:val="20"/>
              </w:rPr>
            </w:pPr>
            <w:r>
              <w:rPr>
                <w:rFonts w:ascii="Arial Narrow" w:hAnsi="Arial Narrow"/>
                <w:sz w:val="20"/>
                <w:szCs w:val="20"/>
              </w:rPr>
              <w:t>0=</w:t>
            </w:r>
            <w:r w:rsidR="00090CEB">
              <w:rPr>
                <w:rFonts w:ascii="Arial Narrow" w:hAnsi="Arial Narrow"/>
                <w:sz w:val="20"/>
                <w:szCs w:val="20"/>
              </w:rPr>
              <w:t xml:space="preserve"> no CKD</w:t>
            </w:r>
          </w:p>
          <w:p w14:paraId="7A612F93" w14:textId="36FEC6BF" w:rsidR="003B0207" w:rsidRPr="002A5428" w:rsidRDefault="00090CEB" w:rsidP="0011132D">
            <w:pPr>
              <w:pStyle w:val="NoSpacing"/>
              <w:rPr>
                <w:rFonts w:ascii="Arial Narrow" w:hAnsi="Arial Narrow"/>
                <w:sz w:val="20"/>
                <w:szCs w:val="20"/>
              </w:rPr>
            </w:pPr>
            <w:r>
              <w:rPr>
                <w:rFonts w:ascii="Arial Narrow" w:hAnsi="Arial Narrow"/>
                <w:sz w:val="20"/>
                <w:szCs w:val="20"/>
              </w:rPr>
              <w:t>1= CKD</w:t>
            </w:r>
          </w:p>
        </w:tc>
      </w:tr>
      <w:tr w:rsidR="003B0207" w:rsidRPr="002A5428" w14:paraId="72209F51" w14:textId="77777777" w:rsidTr="0011132D">
        <w:trPr>
          <w:trHeight w:val="54"/>
        </w:trPr>
        <w:tc>
          <w:tcPr>
            <w:tcW w:w="2160" w:type="dxa"/>
          </w:tcPr>
          <w:p w14:paraId="47341804" w14:textId="34681F91" w:rsidR="003B0207" w:rsidRDefault="003B0207" w:rsidP="0011132D">
            <w:pPr>
              <w:pStyle w:val="NoSpacing"/>
              <w:rPr>
                <w:rFonts w:ascii="Arial Narrow" w:hAnsi="Arial Narrow"/>
                <w:sz w:val="20"/>
                <w:szCs w:val="20"/>
              </w:rPr>
            </w:pPr>
            <w:r>
              <w:rPr>
                <w:rFonts w:ascii="Arial Narrow" w:hAnsi="Arial Narrow"/>
                <w:sz w:val="20"/>
                <w:szCs w:val="20"/>
              </w:rPr>
              <w:t>eGFR</w:t>
            </w:r>
          </w:p>
        </w:tc>
        <w:tc>
          <w:tcPr>
            <w:tcW w:w="3600" w:type="dxa"/>
          </w:tcPr>
          <w:p w14:paraId="533AF823" w14:textId="139A2BAD" w:rsidR="006A5F9C" w:rsidRDefault="003B0207" w:rsidP="0011132D">
            <w:pPr>
              <w:pStyle w:val="NoSpacing"/>
              <w:rPr>
                <w:rFonts w:ascii="Arial Narrow" w:hAnsi="Arial Narrow"/>
                <w:sz w:val="20"/>
                <w:szCs w:val="20"/>
              </w:rPr>
            </w:pPr>
            <w:r>
              <w:rPr>
                <w:rFonts w:ascii="Arial Narrow" w:hAnsi="Arial Narrow"/>
                <w:sz w:val="20"/>
                <w:szCs w:val="20"/>
              </w:rPr>
              <w:t>Estimated glomerular filtration rate</w:t>
            </w:r>
            <w:r w:rsidR="006F5C48">
              <w:rPr>
                <w:rFonts w:ascii="Arial Narrow" w:hAnsi="Arial Narrow"/>
                <w:sz w:val="20"/>
                <w:szCs w:val="20"/>
              </w:rPr>
              <w:t xml:space="preserve"> </w:t>
            </w:r>
            <w:r w:rsidR="006F5C48" w:rsidRPr="006F5C48">
              <w:rPr>
                <w:rFonts w:ascii="Arial Narrow" w:hAnsi="Arial Narrow"/>
                <w:sz w:val="20"/>
                <w:szCs w:val="20"/>
              </w:rPr>
              <w:t>(mL/min/1.73m</w:t>
            </w:r>
            <w:r w:rsidR="006F5C48" w:rsidRPr="006F5C48">
              <w:rPr>
                <w:rFonts w:ascii="Arial Narrow" w:hAnsi="Arial Narrow"/>
                <w:sz w:val="20"/>
                <w:szCs w:val="20"/>
                <w:vertAlign w:val="superscript"/>
              </w:rPr>
              <w:t>2</w:t>
            </w:r>
            <w:r w:rsidR="006F5C48" w:rsidRPr="006F5C48">
              <w:rPr>
                <w:rFonts w:ascii="Arial Narrow" w:hAnsi="Arial Narrow"/>
                <w:sz w:val="20"/>
                <w:szCs w:val="20"/>
              </w:rPr>
              <w:t>)</w:t>
            </w:r>
          </w:p>
          <w:p w14:paraId="0C2D97CD" w14:textId="77777777" w:rsidR="006A5F9C" w:rsidRDefault="006A5F9C" w:rsidP="0011132D">
            <w:pPr>
              <w:pStyle w:val="NoSpacing"/>
              <w:rPr>
                <w:rFonts w:ascii="Arial Narrow" w:hAnsi="Arial Narrow"/>
                <w:sz w:val="20"/>
                <w:szCs w:val="20"/>
              </w:rPr>
            </w:pPr>
          </w:p>
          <w:p w14:paraId="2E70CA4B" w14:textId="78985CF5" w:rsidR="003B0207" w:rsidRDefault="003B0207" w:rsidP="0011132D">
            <w:pPr>
              <w:pStyle w:val="NoSpacing"/>
              <w:rPr>
                <w:rFonts w:ascii="Arial Narrow" w:hAnsi="Arial Narrow"/>
                <w:sz w:val="20"/>
                <w:szCs w:val="20"/>
              </w:rPr>
            </w:pPr>
            <w:r>
              <w:rPr>
                <w:rFonts w:ascii="Arial Narrow" w:hAnsi="Arial Narrow"/>
                <w:sz w:val="20"/>
                <w:szCs w:val="20"/>
              </w:rPr>
              <w:t>This was calculated using CKD-EPI with the race coefficient omitted.</w:t>
            </w:r>
            <w:r w:rsidR="006A5F9C">
              <w:rPr>
                <w:rFonts w:ascii="Arial Narrow" w:hAnsi="Arial Narrow"/>
                <w:sz w:val="20"/>
                <w:szCs w:val="20"/>
              </w:rPr>
              <w:t xml:space="preserve"> </w:t>
            </w:r>
            <w:hyperlink r:id="rId12" w:history="1">
              <w:r w:rsidR="006A5F9C" w:rsidRPr="006D0128">
                <w:rPr>
                  <w:rStyle w:val="Hyperlink"/>
                  <w:rFonts w:ascii="Arial Narrow" w:hAnsi="Arial Narrow"/>
                  <w:sz w:val="20"/>
                  <w:szCs w:val="20"/>
                </w:rPr>
                <w:t>https://www.kidney.org/content/ckd-epi-creatinine-equation-2009</w:t>
              </w:r>
            </w:hyperlink>
          </w:p>
          <w:p w14:paraId="22574058" w14:textId="084C44B7" w:rsidR="003B0207" w:rsidRDefault="003B0207" w:rsidP="0011132D">
            <w:pPr>
              <w:pStyle w:val="NoSpacing"/>
              <w:rPr>
                <w:rFonts w:ascii="Arial Narrow" w:hAnsi="Arial Narrow"/>
                <w:sz w:val="20"/>
                <w:szCs w:val="20"/>
              </w:rPr>
            </w:pPr>
          </w:p>
          <w:p w14:paraId="70F4E4AA" w14:textId="4227DFDE" w:rsidR="003B0207" w:rsidRDefault="003B0207" w:rsidP="0011132D">
            <w:pPr>
              <w:pStyle w:val="NoSpacing"/>
              <w:rPr>
                <w:rFonts w:ascii="Arial Narrow" w:hAnsi="Arial Narrow"/>
                <w:sz w:val="20"/>
                <w:szCs w:val="20"/>
              </w:rPr>
            </w:pPr>
            <w:r>
              <w:rPr>
                <w:rFonts w:ascii="Arial Narrow" w:hAnsi="Arial Narrow"/>
                <w:sz w:val="20"/>
                <w:szCs w:val="20"/>
              </w:rPr>
              <w:t>A valid range is 0</w:t>
            </w:r>
            <w:r w:rsidR="006F5C48">
              <w:rPr>
                <w:rFonts w:ascii="Arial Narrow" w:hAnsi="Arial Narrow"/>
                <w:sz w:val="20"/>
                <w:szCs w:val="20"/>
              </w:rPr>
              <w:t>≤ eGFR &lt;</w:t>
            </w:r>
            <w:r>
              <w:rPr>
                <w:rFonts w:ascii="Arial Narrow" w:hAnsi="Arial Narrow"/>
                <w:sz w:val="20"/>
                <w:szCs w:val="20"/>
              </w:rPr>
              <w:t xml:space="preserve"> 150.</w:t>
            </w:r>
          </w:p>
          <w:p w14:paraId="76BD403D" w14:textId="77777777" w:rsidR="003B0207" w:rsidRDefault="003B0207" w:rsidP="0011132D">
            <w:pPr>
              <w:pStyle w:val="NoSpacing"/>
              <w:rPr>
                <w:rFonts w:ascii="Arial Narrow" w:hAnsi="Arial Narrow"/>
                <w:sz w:val="20"/>
                <w:szCs w:val="20"/>
              </w:rPr>
            </w:pPr>
          </w:p>
          <w:p w14:paraId="348A2201" w14:textId="0F2FEEE9" w:rsidR="003B0207" w:rsidRPr="00090CEB" w:rsidRDefault="003B0207" w:rsidP="0011132D">
            <w:pPr>
              <w:pStyle w:val="NoSpacing"/>
              <w:rPr>
                <w:rFonts w:ascii="Arial Narrow" w:hAnsi="Arial Narrow"/>
                <w:sz w:val="20"/>
                <w:szCs w:val="20"/>
              </w:rPr>
            </w:pPr>
          </w:p>
        </w:tc>
        <w:tc>
          <w:tcPr>
            <w:tcW w:w="3600" w:type="dxa"/>
          </w:tcPr>
          <w:p w14:paraId="32473DF5" w14:textId="33F750BC" w:rsidR="00543E7E" w:rsidRDefault="00543E7E" w:rsidP="0011132D">
            <w:pPr>
              <w:pStyle w:val="NoSpacing"/>
              <w:rPr>
                <w:rFonts w:ascii="Arial Narrow" w:hAnsi="Arial Narrow"/>
                <w:sz w:val="20"/>
                <w:szCs w:val="20"/>
              </w:rPr>
            </w:pPr>
            <w:r>
              <w:rPr>
                <w:rFonts w:ascii="Arial Narrow" w:hAnsi="Arial Narrow"/>
                <w:sz w:val="20"/>
                <w:szCs w:val="20"/>
              </w:rPr>
              <w:t>A continuous variable</w:t>
            </w:r>
            <w:r w:rsidR="005801BE">
              <w:rPr>
                <w:rFonts w:ascii="Arial Narrow" w:hAnsi="Arial Narrow"/>
                <w:sz w:val="20"/>
                <w:szCs w:val="20"/>
              </w:rPr>
              <w:t xml:space="preserve"> with values ranging from 8.62 to 142.03.</w:t>
            </w:r>
          </w:p>
        </w:tc>
      </w:tr>
    </w:tbl>
    <w:p w14:paraId="18F1ED43" w14:textId="77777777" w:rsidR="00E3055C" w:rsidRDefault="00E3055C" w:rsidP="00E3055C">
      <w:pPr>
        <w:pStyle w:val="Heading2"/>
      </w:pPr>
      <w:r>
        <w:t>Secondary Outcomes</w:t>
      </w:r>
    </w:p>
    <w:p w14:paraId="591AEE11" w14:textId="24AAF0B8" w:rsidR="00E3055C" w:rsidRPr="003B0207" w:rsidRDefault="003B0207" w:rsidP="003B0207">
      <w:r>
        <w:t>None</w:t>
      </w:r>
      <w:r w:rsidR="00B4245B">
        <w:t>.</w:t>
      </w:r>
    </w:p>
    <w:p w14:paraId="792BF975" w14:textId="77777777" w:rsidR="00E3055C" w:rsidRDefault="00E3055C" w:rsidP="00E3055C">
      <w:pPr>
        <w:pStyle w:val="Heading2"/>
      </w:pPr>
      <w:r>
        <w:t>Primary Exposure(s)</w:t>
      </w:r>
    </w:p>
    <w:tbl>
      <w:tblPr>
        <w:tblStyle w:val="TableGrid"/>
        <w:tblW w:w="9360" w:type="dxa"/>
        <w:tblLook w:val="04A0" w:firstRow="1" w:lastRow="0" w:firstColumn="1" w:lastColumn="0" w:noHBand="0" w:noVBand="1"/>
      </w:tblPr>
      <w:tblGrid>
        <w:gridCol w:w="2160"/>
        <w:gridCol w:w="3600"/>
        <w:gridCol w:w="3600"/>
      </w:tblGrid>
      <w:tr w:rsidR="004A3E41" w:rsidRPr="004A3E41" w14:paraId="2BDD75C3" w14:textId="77777777" w:rsidTr="0011132D">
        <w:trPr>
          <w:trHeight w:val="54"/>
        </w:trPr>
        <w:tc>
          <w:tcPr>
            <w:tcW w:w="2160" w:type="dxa"/>
          </w:tcPr>
          <w:p w14:paraId="7873FED2" w14:textId="20EE090D" w:rsidR="004A3E41" w:rsidRPr="002A5428" w:rsidRDefault="004A3E41" w:rsidP="004A3E41">
            <w:pPr>
              <w:pStyle w:val="NoSpacing"/>
              <w:rPr>
                <w:rFonts w:ascii="Arial Narrow" w:hAnsi="Arial Narrow"/>
                <w:sz w:val="20"/>
                <w:szCs w:val="20"/>
              </w:rPr>
            </w:pPr>
            <w:r>
              <w:rPr>
                <w:rFonts w:ascii="Arial Narrow" w:hAnsi="Arial Narrow"/>
                <w:sz w:val="20"/>
                <w:szCs w:val="20"/>
              </w:rPr>
              <w:t>Exposure</w:t>
            </w:r>
          </w:p>
        </w:tc>
        <w:tc>
          <w:tcPr>
            <w:tcW w:w="3600" w:type="dxa"/>
          </w:tcPr>
          <w:p w14:paraId="1503AF5C" w14:textId="77777777" w:rsidR="004A3E41" w:rsidRPr="002A5428" w:rsidRDefault="004A3E41" w:rsidP="0011132D">
            <w:pPr>
              <w:pStyle w:val="NoSpacing"/>
              <w:rPr>
                <w:rFonts w:ascii="Arial Narrow" w:hAnsi="Arial Narrow"/>
                <w:sz w:val="20"/>
                <w:szCs w:val="20"/>
              </w:rPr>
            </w:pPr>
            <w:r w:rsidRPr="002A5428">
              <w:rPr>
                <w:rFonts w:ascii="Arial Narrow" w:hAnsi="Arial Narrow"/>
                <w:sz w:val="20"/>
                <w:szCs w:val="20"/>
              </w:rPr>
              <w:t>Description</w:t>
            </w:r>
          </w:p>
        </w:tc>
        <w:tc>
          <w:tcPr>
            <w:tcW w:w="3600" w:type="dxa"/>
          </w:tcPr>
          <w:p w14:paraId="496B13A5" w14:textId="77777777" w:rsidR="004A3E41" w:rsidRPr="002A5428" w:rsidRDefault="004A3E41" w:rsidP="0011132D">
            <w:pPr>
              <w:pStyle w:val="NoSpacing"/>
              <w:rPr>
                <w:rFonts w:ascii="Arial Narrow" w:hAnsi="Arial Narrow"/>
                <w:sz w:val="20"/>
                <w:szCs w:val="20"/>
              </w:rPr>
            </w:pPr>
            <w:r w:rsidRPr="002A5428">
              <w:rPr>
                <w:rFonts w:ascii="Arial Narrow" w:hAnsi="Arial Narrow"/>
                <w:sz w:val="20"/>
                <w:szCs w:val="20"/>
              </w:rPr>
              <w:t>Specifications</w:t>
            </w:r>
          </w:p>
        </w:tc>
      </w:tr>
      <w:tr w:rsidR="004A3E41" w:rsidRPr="004A3E41" w14:paraId="4D73A655" w14:textId="77777777" w:rsidTr="0011132D">
        <w:trPr>
          <w:trHeight w:val="54"/>
        </w:trPr>
        <w:tc>
          <w:tcPr>
            <w:tcW w:w="2160" w:type="dxa"/>
          </w:tcPr>
          <w:p w14:paraId="23D81314" w14:textId="07F4FDF3" w:rsidR="004A3E41" w:rsidRDefault="00D553E5" w:rsidP="0011132D">
            <w:pPr>
              <w:pStyle w:val="NoSpacing"/>
              <w:rPr>
                <w:rFonts w:ascii="Arial Narrow" w:hAnsi="Arial Narrow"/>
                <w:sz w:val="20"/>
                <w:szCs w:val="20"/>
              </w:rPr>
            </w:pPr>
            <w:r>
              <w:rPr>
                <w:rFonts w:ascii="Arial Narrow" w:hAnsi="Arial Narrow"/>
                <w:sz w:val="20"/>
                <w:szCs w:val="20"/>
              </w:rPr>
              <w:t>s</w:t>
            </w:r>
            <w:r w:rsidR="00C95AE1">
              <w:rPr>
                <w:rFonts w:ascii="Arial Narrow" w:hAnsi="Arial Narrow"/>
                <w:sz w:val="20"/>
                <w:szCs w:val="20"/>
              </w:rPr>
              <w:t>erumK</w:t>
            </w:r>
          </w:p>
          <w:p w14:paraId="69FB84FE" w14:textId="57577AB2" w:rsidR="00D553E5" w:rsidRPr="002A5428" w:rsidRDefault="00D553E5" w:rsidP="0011132D">
            <w:pPr>
              <w:pStyle w:val="NoSpacing"/>
              <w:rPr>
                <w:rFonts w:ascii="Arial Narrow" w:hAnsi="Arial Narrow"/>
                <w:sz w:val="20"/>
                <w:szCs w:val="20"/>
              </w:rPr>
            </w:pPr>
            <w:r>
              <w:rPr>
                <w:rFonts w:ascii="Arial Narrow" w:hAnsi="Arial Narrow"/>
                <w:sz w:val="20"/>
                <w:szCs w:val="20"/>
              </w:rPr>
              <w:t>serumK2cat</w:t>
            </w:r>
          </w:p>
        </w:tc>
        <w:tc>
          <w:tcPr>
            <w:tcW w:w="3600" w:type="dxa"/>
          </w:tcPr>
          <w:p w14:paraId="70F84539" w14:textId="77777777" w:rsidR="004A3E41" w:rsidRDefault="006F5C48" w:rsidP="0011132D">
            <w:pPr>
              <w:pStyle w:val="NoSpacing"/>
              <w:rPr>
                <w:rFonts w:ascii="Arial Narrow" w:hAnsi="Arial Narrow"/>
                <w:sz w:val="20"/>
                <w:szCs w:val="20"/>
              </w:rPr>
            </w:pPr>
            <w:r>
              <w:rPr>
                <w:rFonts w:ascii="Arial Narrow" w:hAnsi="Arial Narrow"/>
                <w:sz w:val="20"/>
                <w:szCs w:val="20"/>
              </w:rPr>
              <w:t>Serum potassium (mmol/L)</w:t>
            </w:r>
          </w:p>
          <w:p w14:paraId="125407C3" w14:textId="77777777" w:rsidR="006F5C48" w:rsidRDefault="006F5C48" w:rsidP="0011132D">
            <w:pPr>
              <w:pStyle w:val="NoSpacing"/>
              <w:rPr>
                <w:rFonts w:ascii="Arial Narrow" w:hAnsi="Arial Narrow"/>
                <w:sz w:val="20"/>
                <w:szCs w:val="20"/>
              </w:rPr>
            </w:pPr>
          </w:p>
          <w:p w14:paraId="339BBE22" w14:textId="77777777" w:rsidR="006F5C48" w:rsidRDefault="006F5C48" w:rsidP="0011132D">
            <w:pPr>
              <w:pStyle w:val="NoSpacing"/>
              <w:rPr>
                <w:rFonts w:ascii="Arial Narrow" w:hAnsi="Arial Narrow"/>
                <w:sz w:val="20"/>
                <w:szCs w:val="20"/>
              </w:rPr>
            </w:pPr>
            <w:r>
              <w:rPr>
                <w:rFonts w:ascii="Arial Narrow" w:hAnsi="Arial Narrow"/>
                <w:sz w:val="20"/>
                <w:szCs w:val="20"/>
              </w:rPr>
              <w:t>A valid range is 3 ≤ SerumK &lt; 6</w:t>
            </w:r>
          </w:p>
          <w:p w14:paraId="58FCF08C" w14:textId="77777777" w:rsidR="00B27476" w:rsidRDefault="00B27476" w:rsidP="0011132D">
            <w:pPr>
              <w:pStyle w:val="NoSpacing"/>
              <w:rPr>
                <w:rFonts w:ascii="Arial Narrow" w:hAnsi="Arial Narrow"/>
                <w:sz w:val="20"/>
                <w:szCs w:val="20"/>
              </w:rPr>
            </w:pPr>
          </w:p>
          <w:p w14:paraId="7129E53A" w14:textId="03A31CAD" w:rsidR="00B27476" w:rsidRPr="002A5428" w:rsidRDefault="00B27476" w:rsidP="00B27476">
            <w:pPr>
              <w:pStyle w:val="NoSpacing"/>
              <w:rPr>
                <w:rFonts w:ascii="Arial Narrow" w:hAnsi="Arial Narrow"/>
                <w:sz w:val="20"/>
                <w:szCs w:val="20"/>
              </w:rPr>
            </w:pPr>
            <w:r>
              <w:rPr>
                <w:rFonts w:ascii="Arial Narrow" w:hAnsi="Arial Narrow"/>
                <w:sz w:val="20"/>
                <w:szCs w:val="20"/>
              </w:rPr>
              <w:t xml:space="preserve">Serum K can be dichotomized into low-normal (3 ≤ K ≤ 4) and normal (K &gt; 4) </w:t>
            </w:r>
          </w:p>
        </w:tc>
        <w:tc>
          <w:tcPr>
            <w:tcW w:w="3600" w:type="dxa"/>
          </w:tcPr>
          <w:p w14:paraId="6F677BE2" w14:textId="77777777" w:rsidR="004A3E41" w:rsidRDefault="00FF3F05" w:rsidP="0011132D">
            <w:pPr>
              <w:pStyle w:val="NoSpacing"/>
              <w:rPr>
                <w:rFonts w:ascii="Arial Narrow" w:hAnsi="Arial Narrow"/>
                <w:sz w:val="20"/>
                <w:szCs w:val="20"/>
              </w:rPr>
            </w:pPr>
            <w:r>
              <w:rPr>
                <w:rFonts w:ascii="Arial Narrow" w:hAnsi="Arial Narrow"/>
                <w:sz w:val="20"/>
                <w:szCs w:val="20"/>
              </w:rPr>
              <w:t>s</w:t>
            </w:r>
            <w:r w:rsidR="00BB1556">
              <w:rPr>
                <w:rFonts w:ascii="Arial Narrow" w:hAnsi="Arial Narrow"/>
                <w:sz w:val="20"/>
                <w:szCs w:val="20"/>
              </w:rPr>
              <w:t>erumK</w:t>
            </w:r>
            <w:r w:rsidR="00D553E5">
              <w:rPr>
                <w:rFonts w:ascii="Arial Narrow" w:hAnsi="Arial Narrow"/>
                <w:sz w:val="20"/>
                <w:szCs w:val="20"/>
              </w:rPr>
              <w:t xml:space="preserve"> is a</w:t>
            </w:r>
            <w:r w:rsidR="006F5C48">
              <w:rPr>
                <w:rFonts w:ascii="Arial Narrow" w:hAnsi="Arial Narrow"/>
                <w:sz w:val="20"/>
                <w:szCs w:val="20"/>
              </w:rPr>
              <w:t xml:space="preserve"> continuous variable</w:t>
            </w:r>
            <w:r w:rsidR="00C15B80">
              <w:rPr>
                <w:rFonts w:ascii="Arial Narrow" w:hAnsi="Arial Narrow"/>
                <w:sz w:val="20"/>
                <w:szCs w:val="20"/>
              </w:rPr>
              <w:t xml:space="preserve"> with values ranging from 3 to 5.4</w:t>
            </w:r>
          </w:p>
          <w:p w14:paraId="0E84502A" w14:textId="77777777" w:rsidR="00FF3F05" w:rsidRDefault="00FF3F05" w:rsidP="0011132D">
            <w:pPr>
              <w:pStyle w:val="NoSpacing"/>
              <w:rPr>
                <w:rFonts w:ascii="Arial Narrow" w:hAnsi="Arial Narrow"/>
                <w:sz w:val="20"/>
                <w:szCs w:val="20"/>
              </w:rPr>
            </w:pPr>
          </w:p>
          <w:p w14:paraId="5A8FBC42" w14:textId="77777777" w:rsidR="00FF3F05" w:rsidRDefault="00FF3F05" w:rsidP="0011132D">
            <w:pPr>
              <w:pStyle w:val="NoSpacing"/>
              <w:rPr>
                <w:rFonts w:ascii="Arial Narrow" w:hAnsi="Arial Narrow"/>
                <w:sz w:val="20"/>
                <w:szCs w:val="20"/>
              </w:rPr>
            </w:pPr>
            <w:r>
              <w:rPr>
                <w:rFonts w:ascii="Arial Narrow" w:hAnsi="Arial Narrow"/>
                <w:sz w:val="20"/>
                <w:szCs w:val="20"/>
              </w:rPr>
              <w:t>serumK2cat is a dichotomous variable where</w:t>
            </w:r>
          </w:p>
          <w:p w14:paraId="6DB3DC46" w14:textId="77777777" w:rsidR="00FF3F05" w:rsidRDefault="00FF3F05" w:rsidP="0011132D">
            <w:pPr>
              <w:pStyle w:val="NoSpacing"/>
              <w:rPr>
                <w:rFonts w:ascii="Arial Narrow" w:hAnsi="Arial Narrow"/>
                <w:sz w:val="20"/>
                <w:szCs w:val="20"/>
              </w:rPr>
            </w:pPr>
            <w:r>
              <w:rPr>
                <w:rFonts w:ascii="Arial Narrow" w:hAnsi="Arial Narrow"/>
                <w:sz w:val="20"/>
                <w:szCs w:val="20"/>
              </w:rPr>
              <w:t>0 = Low-normal</w:t>
            </w:r>
          </w:p>
          <w:p w14:paraId="6F4BE3EB" w14:textId="2AA7EDE4" w:rsidR="00FF3F05" w:rsidRPr="002A5428" w:rsidRDefault="00FF3F05" w:rsidP="0011132D">
            <w:pPr>
              <w:pStyle w:val="NoSpacing"/>
              <w:rPr>
                <w:rFonts w:ascii="Arial Narrow" w:hAnsi="Arial Narrow"/>
                <w:sz w:val="20"/>
                <w:szCs w:val="20"/>
              </w:rPr>
            </w:pPr>
            <w:r>
              <w:rPr>
                <w:rFonts w:ascii="Arial Narrow" w:hAnsi="Arial Narrow"/>
                <w:sz w:val="20"/>
                <w:szCs w:val="20"/>
              </w:rPr>
              <w:t>1 = Normal</w:t>
            </w:r>
          </w:p>
        </w:tc>
      </w:tr>
      <w:tr w:rsidR="00C95AE1" w:rsidRPr="004A3E41" w14:paraId="1FDD9FC8" w14:textId="77777777" w:rsidTr="0011132D">
        <w:trPr>
          <w:trHeight w:val="54"/>
        </w:trPr>
        <w:tc>
          <w:tcPr>
            <w:tcW w:w="2160" w:type="dxa"/>
          </w:tcPr>
          <w:p w14:paraId="26FA3138" w14:textId="77777777" w:rsidR="00C95AE1" w:rsidRDefault="00C95AE1" w:rsidP="0011132D">
            <w:pPr>
              <w:pStyle w:val="NoSpacing"/>
              <w:rPr>
                <w:rFonts w:ascii="Arial Narrow" w:hAnsi="Arial Narrow"/>
                <w:sz w:val="20"/>
                <w:szCs w:val="20"/>
              </w:rPr>
            </w:pPr>
            <w:r>
              <w:rPr>
                <w:rFonts w:ascii="Arial Narrow" w:hAnsi="Arial Narrow"/>
                <w:sz w:val="20"/>
                <w:szCs w:val="20"/>
              </w:rPr>
              <w:t>dietK1000</w:t>
            </w:r>
          </w:p>
          <w:p w14:paraId="0D2B175B" w14:textId="1498C304" w:rsidR="00D553E5" w:rsidRPr="002A5428" w:rsidRDefault="00D553E5" w:rsidP="0011132D">
            <w:pPr>
              <w:pStyle w:val="NoSpacing"/>
              <w:rPr>
                <w:rFonts w:ascii="Arial Narrow" w:hAnsi="Arial Narrow"/>
                <w:sz w:val="20"/>
                <w:szCs w:val="20"/>
              </w:rPr>
            </w:pPr>
            <w:r>
              <w:rPr>
                <w:rFonts w:ascii="Arial Narrow" w:hAnsi="Arial Narrow"/>
                <w:sz w:val="20"/>
                <w:szCs w:val="20"/>
              </w:rPr>
              <w:t>dietK2cat</w:t>
            </w:r>
          </w:p>
        </w:tc>
        <w:tc>
          <w:tcPr>
            <w:tcW w:w="3600" w:type="dxa"/>
          </w:tcPr>
          <w:p w14:paraId="7902D788" w14:textId="103A577F" w:rsidR="006F5C48" w:rsidRDefault="006F5C48" w:rsidP="006F5C48">
            <w:pPr>
              <w:pStyle w:val="NoSpacing"/>
              <w:rPr>
                <w:rFonts w:ascii="Arial Narrow" w:hAnsi="Arial Narrow"/>
                <w:sz w:val="20"/>
                <w:szCs w:val="20"/>
              </w:rPr>
            </w:pPr>
            <w:r>
              <w:rPr>
                <w:rFonts w:ascii="Arial Narrow" w:hAnsi="Arial Narrow"/>
                <w:sz w:val="20"/>
                <w:szCs w:val="20"/>
              </w:rPr>
              <w:t>Dietary potassium (mg/1000kcal)</w:t>
            </w:r>
          </w:p>
          <w:p w14:paraId="6BDA69DF" w14:textId="77777777" w:rsidR="006F5C48" w:rsidRDefault="006F5C48" w:rsidP="006F5C48">
            <w:pPr>
              <w:pStyle w:val="NoSpacing"/>
              <w:rPr>
                <w:rFonts w:ascii="Arial Narrow" w:hAnsi="Arial Narrow"/>
                <w:sz w:val="20"/>
                <w:szCs w:val="20"/>
              </w:rPr>
            </w:pPr>
          </w:p>
          <w:p w14:paraId="4A46CECE" w14:textId="77777777" w:rsidR="00C95AE1" w:rsidRDefault="006F5C48" w:rsidP="006F5C48">
            <w:pPr>
              <w:pStyle w:val="NoSpacing"/>
              <w:rPr>
                <w:rFonts w:ascii="Arial Narrow" w:hAnsi="Arial Narrow"/>
                <w:sz w:val="20"/>
                <w:szCs w:val="20"/>
              </w:rPr>
            </w:pPr>
            <w:r>
              <w:rPr>
                <w:rFonts w:ascii="Arial Narrow" w:hAnsi="Arial Narrow"/>
                <w:sz w:val="20"/>
                <w:szCs w:val="20"/>
              </w:rPr>
              <w:t>Computed as the average potassium</w:t>
            </w:r>
            <w:r w:rsidRPr="006F5C48">
              <w:rPr>
                <w:rFonts w:ascii="Arial Narrow" w:hAnsi="Arial Narrow"/>
                <w:sz w:val="20"/>
                <w:szCs w:val="20"/>
              </w:rPr>
              <w:t xml:space="preserve"> intake from food </w:t>
            </w:r>
            <w:r>
              <w:rPr>
                <w:rFonts w:ascii="Arial Narrow" w:hAnsi="Arial Narrow"/>
                <w:sz w:val="20"/>
                <w:szCs w:val="20"/>
              </w:rPr>
              <w:t>over two days, and scaled to a 1000 calorie diet</w:t>
            </w:r>
          </w:p>
          <w:p w14:paraId="40D576B8" w14:textId="77777777" w:rsidR="0072389E" w:rsidRDefault="0072389E" w:rsidP="006F5C48">
            <w:pPr>
              <w:pStyle w:val="NoSpacing"/>
              <w:rPr>
                <w:rFonts w:ascii="Arial Narrow" w:hAnsi="Arial Narrow"/>
                <w:sz w:val="20"/>
                <w:szCs w:val="20"/>
              </w:rPr>
            </w:pPr>
          </w:p>
          <w:p w14:paraId="492BA865" w14:textId="2B220309" w:rsidR="0072389E" w:rsidRPr="002A5428" w:rsidRDefault="0072389E" w:rsidP="006F5C48">
            <w:pPr>
              <w:pStyle w:val="NoSpacing"/>
              <w:rPr>
                <w:rFonts w:ascii="Arial Narrow" w:hAnsi="Arial Narrow"/>
                <w:sz w:val="20"/>
                <w:szCs w:val="20"/>
              </w:rPr>
            </w:pPr>
            <w:r>
              <w:rPr>
                <w:rFonts w:ascii="Arial Narrow" w:hAnsi="Arial Narrow"/>
                <w:sz w:val="20"/>
                <w:szCs w:val="20"/>
              </w:rPr>
              <w:t>Diet K can be categorized into inadequate intake (K &lt; 1534), borderline adequate intake (1534≤ K &lt; 2238), and adequate intake (K ≥2238)</w:t>
            </w:r>
          </w:p>
        </w:tc>
        <w:tc>
          <w:tcPr>
            <w:tcW w:w="3600" w:type="dxa"/>
          </w:tcPr>
          <w:p w14:paraId="0622F15E" w14:textId="77777777" w:rsidR="00C95AE1" w:rsidRDefault="00FF3F05" w:rsidP="0011132D">
            <w:pPr>
              <w:pStyle w:val="NoSpacing"/>
              <w:rPr>
                <w:rFonts w:ascii="Arial Narrow" w:hAnsi="Arial Narrow"/>
                <w:sz w:val="20"/>
                <w:szCs w:val="20"/>
              </w:rPr>
            </w:pPr>
            <w:r>
              <w:rPr>
                <w:rFonts w:ascii="Arial Narrow" w:hAnsi="Arial Narrow"/>
                <w:sz w:val="20"/>
                <w:szCs w:val="20"/>
              </w:rPr>
              <w:t>dietK1000 is a</w:t>
            </w:r>
            <w:r w:rsidR="006C358C">
              <w:rPr>
                <w:rFonts w:ascii="Arial Narrow" w:hAnsi="Arial Narrow"/>
                <w:sz w:val="20"/>
                <w:szCs w:val="20"/>
              </w:rPr>
              <w:t xml:space="preserve"> continuous variable</w:t>
            </w:r>
            <w:r w:rsidR="00335970">
              <w:rPr>
                <w:rFonts w:ascii="Arial Narrow" w:hAnsi="Arial Narrow"/>
                <w:sz w:val="20"/>
                <w:szCs w:val="20"/>
              </w:rPr>
              <w:t xml:space="preserve"> with values ranging from </w:t>
            </w:r>
            <w:r w:rsidR="00A8605D">
              <w:rPr>
                <w:rFonts w:ascii="Arial Narrow" w:hAnsi="Arial Narrow"/>
                <w:sz w:val="20"/>
                <w:szCs w:val="20"/>
              </w:rPr>
              <w:t>314.5 to 3076.4</w:t>
            </w:r>
          </w:p>
          <w:p w14:paraId="5A2BE8A2" w14:textId="77777777" w:rsidR="001F75FE" w:rsidRDefault="001F75FE" w:rsidP="0011132D">
            <w:pPr>
              <w:pStyle w:val="NoSpacing"/>
              <w:rPr>
                <w:rFonts w:ascii="Arial Narrow" w:hAnsi="Arial Narrow"/>
                <w:sz w:val="20"/>
                <w:szCs w:val="20"/>
              </w:rPr>
            </w:pPr>
          </w:p>
          <w:p w14:paraId="7E981849" w14:textId="77777777" w:rsidR="001F75FE" w:rsidRDefault="001F75FE" w:rsidP="0011132D">
            <w:pPr>
              <w:pStyle w:val="NoSpacing"/>
              <w:rPr>
                <w:rFonts w:ascii="Arial Narrow" w:hAnsi="Arial Narrow"/>
                <w:sz w:val="20"/>
                <w:szCs w:val="20"/>
              </w:rPr>
            </w:pPr>
            <w:r>
              <w:rPr>
                <w:rFonts w:ascii="Arial Narrow" w:hAnsi="Arial Narrow"/>
                <w:sz w:val="20"/>
                <w:szCs w:val="20"/>
              </w:rPr>
              <w:t>dietK2cat is an ordinal variable where</w:t>
            </w:r>
          </w:p>
          <w:p w14:paraId="6A36A592" w14:textId="77777777" w:rsidR="001F75FE" w:rsidRDefault="001F75FE" w:rsidP="0011132D">
            <w:pPr>
              <w:pStyle w:val="NoSpacing"/>
              <w:rPr>
                <w:rFonts w:ascii="Arial Narrow" w:hAnsi="Arial Narrow"/>
                <w:sz w:val="20"/>
                <w:szCs w:val="20"/>
              </w:rPr>
            </w:pPr>
            <w:r>
              <w:rPr>
                <w:rFonts w:ascii="Arial Narrow" w:hAnsi="Arial Narrow"/>
                <w:sz w:val="20"/>
                <w:szCs w:val="20"/>
              </w:rPr>
              <w:t>1 = Inadequate intake</w:t>
            </w:r>
          </w:p>
          <w:p w14:paraId="3172F075" w14:textId="77777777" w:rsidR="001F75FE" w:rsidRDefault="001F75FE" w:rsidP="0011132D">
            <w:pPr>
              <w:pStyle w:val="NoSpacing"/>
              <w:rPr>
                <w:rFonts w:ascii="Arial Narrow" w:hAnsi="Arial Narrow"/>
                <w:sz w:val="20"/>
                <w:szCs w:val="20"/>
              </w:rPr>
            </w:pPr>
            <w:r>
              <w:rPr>
                <w:rFonts w:ascii="Arial Narrow" w:hAnsi="Arial Narrow"/>
                <w:sz w:val="20"/>
                <w:szCs w:val="20"/>
              </w:rPr>
              <w:t>2 = Borderline adequate intake</w:t>
            </w:r>
          </w:p>
          <w:p w14:paraId="2AE7F639" w14:textId="789AC898" w:rsidR="001F75FE" w:rsidRPr="002A5428" w:rsidRDefault="001F75FE" w:rsidP="0011132D">
            <w:pPr>
              <w:pStyle w:val="NoSpacing"/>
              <w:rPr>
                <w:rFonts w:ascii="Arial Narrow" w:hAnsi="Arial Narrow"/>
                <w:sz w:val="20"/>
                <w:szCs w:val="20"/>
              </w:rPr>
            </w:pPr>
            <w:r>
              <w:rPr>
                <w:rFonts w:ascii="Arial Narrow" w:hAnsi="Arial Narrow"/>
                <w:sz w:val="20"/>
                <w:szCs w:val="20"/>
              </w:rPr>
              <w:t>3 = Adequate intake</w:t>
            </w:r>
          </w:p>
        </w:tc>
      </w:tr>
    </w:tbl>
    <w:p w14:paraId="5FC7CF1E" w14:textId="66DDFB02" w:rsidR="00E3055C" w:rsidRPr="00A93B3E" w:rsidRDefault="00E3055C" w:rsidP="004A3E41"/>
    <w:p w14:paraId="147FBD47" w14:textId="30364587" w:rsidR="008A5413" w:rsidRPr="00382E42" w:rsidRDefault="00E3055C" w:rsidP="008A5413">
      <w:pPr>
        <w:pStyle w:val="Heading2"/>
      </w:pPr>
      <w:r>
        <w:t>Other Variables of interest</w:t>
      </w:r>
    </w:p>
    <w:tbl>
      <w:tblPr>
        <w:tblStyle w:val="TableGrid"/>
        <w:tblW w:w="9360" w:type="dxa"/>
        <w:tblLook w:val="04A0" w:firstRow="1" w:lastRow="0" w:firstColumn="1" w:lastColumn="0" w:noHBand="0" w:noVBand="1"/>
      </w:tblPr>
      <w:tblGrid>
        <w:gridCol w:w="2160"/>
        <w:gridCol w:w="3600"/>
        <w:gridCol w:w="3600"/>
      </w:tblGrid>
      <w:tr w:rsidR="004A3E41" w:rsidRPr="004A3E41" w14:paraId="4E31D0D1" w14:textId="77777777" w:rsidTr="0011132D">
        <w:trPr>
          <w:trHeight w:val="54"/>
        </w:trPr>
        <w:tc>
          <w:tcPr>
            <w:tcW w:w="2160" w:type="dxa"/>
          </w:tcPr>
          <w:p w14:paraId="2F31C662" w14:textId="799D855E" w:rsidR="004A3E41" w:rsidRPr="002A5428" w:rsidRDefault="004A3E41" w:rsidP="0011132D">
            <w:pPr>
              <w:pStyle w:val="NoSpacing"/>
              <w:rPr>
                <w:rFonts w:ascii="Arial Narrow" w:hAnsi="Arial Narrow"/>
                <w:sz w:val="20"/>
                <w:szCs w:val="20"/>
              </w:rPr>
            </w:pPr>
            <w:r>
              <w:rPr>
                <w:rFonts w:ascii="Arial Narrow" w:hAnsi="Arial Narrow"/>
                <w:sz w:val="20"/>
                <w:szCs w:val="20"/>
              </w:rPr>
              <w:t>Variable</w:t>
            </w:r>
          </w:p>
        </w:tc>
        <w:tc>
          <w:tcPr>
            <w:tcW w:w="3600" w:type="dxa"/>
          </w:tcPr>
          <w:p w14:paraId="23945B32" w14:textId="77777777" w:rsidR="004A3E41" w:rsidRPr="002A5428" w:rsidRDefault="004A3E41" w:rsidP="0011132D">
            <w:pPr>
              <w:pStyle w:val="NoSpacing"/>
              <w:rPr>
                <w:rFonts w:ascii="Arial Narrow" w:hAnsi="Arial Narrow"/>
                <w:sz w:val="20"/>
                <w:szCs w:val="20"/>
              </w:rPr>
            </w:pPr>
            <w:r w:rsidRPr="002A5428">
              <w:rPr>
                <w:rFonts w:ascii="Arial Narrow" w:hAnsi="Arial Narrow"/>
                <w:sz w:val="20"/>
                <w:szCs w:val="20"/>
              </w:rPr>
              <w:t>Description</w:t>
            </w:r>
          </w:p>
        </w:tc>
        <w:tc>
          <w:tcPr>
            <w:tcW w:w="3600" w:type="dxa"/>
          </w:tcPr>
          <w:p w14:paraId="0D7B4C7B" w14:textId="77777777" w:rsidR="004A3E41" w:rsidRPr="002A5428" w:rsidRDefault="004A3E41" w:rsidP="0011132D">
            <w:pPr>
              <w:pStyle w:val="NoSpacing"/>
              <w:rPr>
                <w:rFonts w:ascii="Arial Narrow" w:hAnsi="Arial Narrow"/>
                <w:sz w:val="20"/>
                <w:szCs w:val="20"/>
              </w:rPr>
            </w:pPr>
            <w:r w:rsidRPr="002A5428">
              <w:rPr>
                <w:rFonts w:ascii="Arial Narrow" w:hAnsi="Arial Narrow"/>
                <w:sz w:val="20"/>
                <w:szCs w:val="20"/>
              </w:rPr>
              <w:t>Specifications</w:t>
            </w:r>
          </w:p>
        </w:tc>
      </w:tr>
      <w:tr w:rsidR="004A3E41" w:rsidRPr="004A3E41" w14:paraId="1E84880E" w14:textId="77777777" w:rsidTr="0011132D">
        <w:trPr>
          <w:trHeight w:val="54"/>
        </w:trPr>
        <w:tc>
          <w:tcPr>
            <w:tcW w:w="2160" w:type="dxa"/>
          </w:tcPr>
          <w:p w14:paraId="6824BC5D" w14:textId="7165CB89" w:rsidR="004A3E41" w:rsidRPr="002A5428" w:rsidRDefault="003B0207" w:rsidP="0011132D">
            <w:pPr>
              <w:pStyle w:val="NoSpacing"/>
              <w:rPr>
                <w:rFonts w:ascii="Arial Narrow" w:hAnsi="Arial Narrow"/>
                <w:sz w:val="20"/>
                <w:szCs w:val="20"/>
              </w:rPr>
            </w:pPr>
            <w:r>
              <w:rPr>
                <w:rFonts w:ascii="Arial Narrow" w:hAnsi="Arial Narrow"/>
                <w:sz w:val="20"/>
                <w:szCs w:val="20"/>
              </w:rPr>
              <w:t>SEQN</w:t>
            </w:r>
          </w:p>
        </w:tc>
        <w:tc>
          <w:tcPr>
            <w:tcW w:w="3600" w:type="dxa"/>
          </w:tcPr>
          <w:p w14:paraId="645B1ED7" w14:textId="33274950" w:rsidR="004A3E41" w:rsidRPr="002A5428" w:rsidRDefault="003B0207" w:rsidP="0011132D">
            <w:pPr>
              <w:pStyle w:val="NoSpacing"/>
              <w:rPr>
                <w:rFonts w:ascii="Arial Narrow" w:hAnsi="Arial Narrow"/>
                <w:sz w:val="20"/>
                <w:szCs w:val="20"/>
              </w:rPr>
            </w:pPr>
            <w:r>
              <w:rPr>
                <w:rFonts w:ascii="Arial Narrow" w:hAnsi="Arial Narrow"/>
                <w:sz w:val="20"/>
                <w:szCs w:val="20"/>
              </w:rPr>
              <w:t>Participant ID number</w:t>
            </w:r>
          </w:p>
        </w:tc>
        <w:tc>
          <w:tcPr>
            <w:tcW w:w="3600" w:type="dxa"/>
          </w:tcPr>
          <w:p w14:paraId="16BAFCE5" w14:textId="2C96E0F4" w:rsidR="004A3E41" w:rsidRPr="002A5428" w:rsidRDefault="00F65B03" w:rsidP="0011132D">
            <w:pPr>
              <w:pStyle w:val="NoSpacing"/>
              <w:rPr>
                <w:rFonts w:ascii="Arial Narrow" w:hAnsi="Arial Narrow"/>
                <w:sz w:val="20"/>
                <w:szCs w:val="20"/>
              </w:rPr>
            </w:pPr>
            <w:r>
              <w:rPr>
                <w:rFonts w:ascii="Arial Narrow" w:hAnsi="Arial Narrow"/>
                <w:sz w:val="20"/>
                <w:szCs w:val="20"/>
              </w:rPr>
              <w:t xml:space="preserve">A discrete variable </w:t>
            </w:r>
            <w:r w:rsidR="00695DBF">
              <w:rPr>
                <w:rFonts w:ascii="Arial Narrow" w:hAnsi="Arial Narrow"/>
                <w:sz w:val="20"/>
                <w:szCs w:val="20"/>
              </w:rPr>
              <w:t>between 93716 and 102914</w:t>
            </w:r>
          </w:p>
        </w:tc>
      </w:tr>
      <w:tr w:rsidR="003B0207" w:rsidRPr="004A3E41" w14:paraId="14403215" w14:textId="77777777" w:rsidTr="0011132D">
        <w:trPr>
          <w:trHeight w:val="54"/>
        </w:trPr>
        <w:tc>
          <w:tcPr>
            <w:tcW w:w="2160" w:type="dxa"/>
          </w:tcPr>
          <w:p w14:paraId="4411822D" w14:textId="3FE0172C" w:rsidR="003B0207" w:rsidRDefault="003B0207" w:rsidP="0011132D">
            <w:pPr>
              <w:pStyle w:val="NoSpacing"/>
              <w:rPr>
                <w:rFonts w:ascii="Arial Narrow" w:hAnsi="Arial Narrow"/>
                <w:sz w:val="20"/>
                <w:szCs w:val="20"/>
              </w:rPr>
            </w:pPr>
            <w:r>
              <w:rPr>
                <w:rFonts w:ascii="Arial Narrow" w:hAnsi="Arial Narrow"/>
                <w:sz w:val="20"/>
                <w:szCs w:val="20"/>
              </w:rPr>
              <w:t>Age</w:t>
            </w:r>
          </w:p>
        </w:tc>
        <w:tc>
          <w:tcPr>
            <w:tcW w:w="3600" w:type="dxa"/>
          </w:tcPr>
          <w:p w14:paraId="1EE423CB" w14:textId="77777777" w:rsidR="000F16A4" w:rsidRDefault="00D02404" w:rsidP="003B0207">
            <w:pPr>
              <w:pStyle w:val="NoSpacing"/>
              <w:rPr>
                <w:rFonts w:ascii="Arial Narrow" w:hAnsi="Arial Narrow"/>
                <w:sz w:val="20"/>
                <w:szCs w:val="20"/>
              </w:rPr>
            </w:pPr>
            <w:r w:rsidRPr="00D02404">
              <w:rPr>
                <w:rFonts w:ascii="Arial Narrow" w:hAnsi="Arial Narrow"/>
                <w:sz w:val="20"/>
                <w:szCs w:val="20"/>
              </w:rPr>
              <w:t xml:space="preserve">Age </w:t>
            </w:r>
            <w:r>
              <w:rPr>
                <w:rFonts w:ascii="Arial Narrow" w:hAnsi="Arial Narrow"/>
                <w:sz w:val="20"/>
                <w:szCs w:val="20"/>
              </w:rPr>
              <w:t>(</w:t>
            </w:r>
            <w:r w:rsidRPr="00D02404">
              <w:rPr>
                <w:rFonts w:ascii="Arial Narrow" w:hAnsi="Arial Narrow"/>
                <w:sz w:val="20"/>
                <w:szCs w:val="20"/>
              </w:rPr>
              <w:t>years</w:t>
            </w:r>
            <w:r>
              <w:rPr>
                <w:rFonts w:ascii="Arial Narrow" w:hAnsi="Arial Narrow"/>
                <w:sz w:val="20"/>
                <w:szCs w:val="20"/>
              </w:rPr>
              <w:t>)</w:t>
            </w:r>
            <w:r w:rsidRPr="00D02404">
              <w:rPr>
                <w:rFonts w:ascii="Arial Narrow" w:hAnsi="Arial Narrow"/>
                <w:sz w:val="20"/>
                <w:szCs w:val="20"/>
              </w:rPr>
              <w:t xml:space="preserve"> </w:t>
            </w:r>
          </w:p>
          <w:p w14:paraId="2CCE94B1" w14:textId="77777777" w:rsidR="000F16A4" w:rsidRDefault="000F16A4" w:rsidP="003B0207">
            <w:pPr>
              <w:pStyle w:val="NoSpacing"/>
              <w:rPr>
                <w:rFonts w:ascii="Arial Narrow" w:hAnsi="Arial Narrow"/>
                <w:sz w:val="20"/>
                <w:szCs w:val="20"/>
              </w:rPr>
            </w:pPr>
          </w:p>
          <w:p w14:paraId="1FAD3D86" w14:textId="27D9F803" w:rsidR="003B0207" w:rsidRDefault="000F16A4" w:rsidP="003B0207">
            <w:pPr>
              <w:pStyle w:val="NoSpacing"/>
              <w:rPr>
                <w:rFonts w:ascii="Arial Narrow" w:hAnsi="Arial Narrow"/>
                <w:sz w:val="20"/>
                <w:szCs w:val="20"/>
              </w:rPr>
            </w:pPr>
            <w:r>
              <w:rPr>
                <w:rFonts w:ascii="Arial Narrow" w:hAnsi="Arial Narrow"/>
                <w:sz w:val="20"/>
                <w:szCs w:val="20"/>
              </w:rPr>
              <w:t xml:space="preserve">Ascertained at </w:t>
            </w:r>
            <w:r w:rsidR="00D02404" w:rsidRPr="00D02404">
              <w:rPr>
                <w:rFonts w:ascii="Arial Narrow" w:hAnsi="Arial Narrow"/>
                <w:sz w:val="20"/>
                <w:szCs w:val="20"/>
              </w:rPr>
              <w:t xml:space="preserve">the time of screening. Individuals 80 and over </w:t>
            </w:r>
            <w:r>
              <w:rPr>
                <w:rFonts w:ascii="Arial Narrow" w:hAnsi="Arial Narrow"/>
                <w:sz w:val="20"/>
                <w:szCs w:val="20"/>
              </w:rPr>
              <w:t>were topcoded at 80 years</w:t>
            </w:r>
            <w:r w:rsidR="00D02404" w:rsidRPr="00D02404">
              <w:rPr>
                <w:rFonts w:ascii="Arial Narrow" w:hAnsi="Arial Narrow"/>
                <w:sz w:val="20"/>
                <w:szCs w:val="20"/>
              </w:rPr>
              <w:t>.</w:t>
            </w:r>
          </w:p>
          <w:p w14:paraId="3C69FBE9" w14:textId="77777777" w:rsidR="00D02404" w:rsidRDefault="00D02404" w:rsidP="003B0207">
            <w:pPr>
              <w:pStyle w:val="NoSpacing"/>
              <w:rPr>
                <w:rFonts w:ascii="Arial Narrow" w:hAnsi="Arial Narrow"/>
                <w:sz w:val="20"/>
                <w:szCs w:val="20"/>
              </w:rPr>
            </w:pPr>
          </w:p>
          <w:p w14:paraId="6EBBBF61" w14:textId="4194B639" w:rsidR="003B0207" w:rsidRDefault="003B0207" w:rsidP="005C3370">
            <w:pPr>
              <w:pStyle w:val="NoSpacing"/>
              <w:rPr>
                <w:rFonts w:ascii="Arial Narrow" w:hAnsi="Arial Narrow"/>
                <w:sz w:val="20"/>
                <w:szCs w:val="20"/>
              </w:rPr>
            </w:pPr>
            <w:r>
              <w:rPr>
                <w:rFonts w:ascii="Arial Narrow" w:hAnsi="Arial Narrow"/>
                <w:sz w:val="20"/>
                <w:szCs w:val="20"/>
              </w:rPr>
              <w:t>A valid range is 18</w:t>
            </w:r>
            <w:r w:rsidR="005C3370">
              <w:rPr>
                <w:rFonts w:ascii="Arial Narrow" w:hAnsi="Arial Narrow"/>
                <w:sz w:val="20"/>
                <w:szCs w:val="20"/>
              </w:rPr>
              <w:t xml:space="preserve"> ≤ Age ≤ 80</w:t>
            </w:r>
          </w:p>
        </w:tc>
        <w:tc>
          <w:tcPr>
            <w:tcW w:w="3600" w:type="dxa"/>
          </w:tcPr>
          <w:p w14:paraId="33A9CD92" w14:textId="4C8E313B" w:rsidR="003B0207" w:rsidRPr="002A5428" w:rsidRDefault="003F346E" w:rsidP="0011132D">
            <w:pPr>
              <w:pStyle w:val="NoSpacing"/>
              <w:rPr>
                <w:rFonts w:ascii="Arial Narrow" w:hAnsi="Arial Narrow"/>
                <w:sz w:val="20"/>
                <w:szCs w:val="20"/>
              </w:rPr>
            </w:pPr>
            <w:r w:rsidRPr="003F346E">
              <w:rPr>
                <w:rFonts w:ascii="Arial Narrow" w:hAnsi="Arial Narrow"/>
                <w:sz w:val="20"/>
                <w:szCs w:val="20"/>
              </w:rPr>
              <w:t xml:space="preserve">A </w:t>
            </w:r>
            <w:r>
              <w:rPr>
                <w:rFonts w:ascii="Arial Narrow" w:hAnsi="Arial Narrow"/>
                <w:sz w:val="20"/>
                <w:szCs w:val="20"/>
              </w:rPr>
              <w:t>discrete</w:t>
            </w:r>
            <w:r w:rsidRPr="003F346E">
              <w:rPr>
                <w:rFonts w:ascii="Arial Narrow" w:hAnsi="Arial Narrow"/>
                <w:sz w:val="20"/>
                <w:szCs w:val="20"/>
              </w:rPr>
              <w:t xml:space="preserve"> variable with a range of 18 to 80.</w:t>
            </w:r>
          </w:p>
        </w:tc>
      </w:tr>
      <w:tr w:rsidR="003B0207" w:rsidRPr="004A3E41" w14:paraId="4CA56429" w14:textId="77777777" w:rsidTr="0011132D">
        <w:trPr>
          <w:trHeight w:val="54"/>
        </w:trPr>
        <w:tc>
          <w:tcPr>
            <w:tcW w:w="2160" w:type="dxa"/>
          </w:tcPr>
          <w:p w14:paraId="5DA5E1AE" w14:textId="2DED5D27" w:rsidR="003B0207" w:rsidRDefault="00543E7E" w:rsidP="0011132D">
            <w:pPr>
              <w:pStyle w:val="NoSpacing"/>
              <w:rPr>
                <w:rFonts w:ascii="Arial Narrow" w:hAnsi="Arial Narrow"/>
                <w:sz w:val="20"/>
                <w:szCs w:val="20"/>
              </w:rPr>
            </w:pPr>
            <w:r>
              <w:rPr>
                <w:rFonts w:ascii="Arial Narrow" w:hAnsi="Arial Narrow"/>
                <w:sz w:val="20"/>
                <w:szCs w:val="20"/>
              </w:rPr>
              <w:t>Sex</w:t>
            </w:r>
          </w:p>
        </w:tc>
        <w:tc>
          <w:tcPr>
            <w:tcW w:w="3600" w:type="dxa"/>
          </w:tcPr>
          <w:p w14:paraId="3FCFC985" w14:textId="7DC3219B" w:rsidR="00543E7E" w:rsidRDefault="00543E7E" w:rsidP="00D02404">
            <w:pPr>
              <w:pStyle w:val="NoSpacing"/>
              <w:rPr>
                <w:rFonts w:ascii="Arial Narrow" w:hAnsi="Arial Narrow"/>
                <w:sz w:val="20"/>
                <w:szCs w:val="20"/>
              </w:rPr>
            </w:pPr>
            <w:r>
              <w:rPr>
                <w:rFonts w:ascii="Arial Narrow" w:hAnsi="Arial Narrow"/>
                <w:sz w:val="20"/>
                <w:szCs w:val="20"/>
              </w:rPr>
              <w:t>Sex</w:t>
            </w:r>
            <w:r w:rsidR="00D02404">
              <w:rPr>
                <w:rFonts w:ascii="Arial Narrow" w:hAnsi="Arial Narrow"/>
                <w:sz w:val="20"/>
                <w:szCs w:val="20"/>
              </w:rPr>
              <w:t xml:space="preserve"> of the participant</w:t>
            </w:r>
          </w:p>
        </w:tc>
        <w:tc>
          <w:tcPr>
            <w:tcW w:w="3600" w:type="dxa"/>
          </w:tcPr>
          <w:p w14:paraId="4AC7FD36" w14:textId="0E00605C" w:rsidR="003B0207" w:rsidRDefault="00543E7E" w:rsidP="0011132D">
            <w:pPr>
              <w:pStyle w:val="NoSpacing"/>
              <w:rPr>
                <w:rFonts w:ascii="Arial Narrow" w:hAnsi="Arial Narrow"/>
                <w:sz w:val="20"/>
                <w:szCs w:val="20"/>
              </w:rPr>
            </w:pPr>
            <w:r>
              <w:rPr>
                <w:rFonts w:ascii="Arial Narrow" w:hAnsi="Arial Narrow"/>
                <w:sz w:val="20"/>
                <w:szCs w:val="20"/>
              </w:rPr>
              <w:t xml:space="preserve">A </w:t>
            </w:r>
            <w:r w:rsidR="00A932FD">
              <w:rPr>
                <w:rFonts w:ascii="Arial Narrow" w:hAnsi="Arial Narrow"/>
                <w:sz w:val="20"/>
                <w:szCs w:val="20"/>
              </w:rPr>
              <w:t>dichotomous</w:t>
            </w:r>
            <w:r w:rsidR="004171AE">
              <w:rPr>
                <w:rFonts w:ascii="Arial Narrow" w:hAnsi="Arial Narrow"/>
                <w:sz w:val="20"/>
                <w:szCs w:val="20"/>
              </w:rPr>
              <w:t>/binary</w:t>
            </w:r>
            <w:r>
              <w:rPr>
                <w:rFonts w:ascii="Arial Narrow" w:hAnsi="Arial Narrow"/>
                <w:sz w:val="20"/>
                <w:szCs w:val="20"/>
              </w:rPr>
              <w:t xml:space="preserve"> variable where</w:t>
            </w:r>
          </w:p>
          <w:p w14:paraId="0ECD25EB" w14:textId="77777777" w:rsidR="00543E7E" w:rsidRDefault="00543E7E" w:rsidP="0011132D">
            <w:pPr>
              <w:pStyle w:val="NoSpacing"/>
              <w:rPr>
                <w:rFonts w:ascii="Arial Narrow" w:hAnsi="Arial Narrow"/>
                <w:sz w:val="20"/>
                <w:szCs w:val="20"/>
              </w:rPr>
            </w:pPr>
            <w:r>
              <w:rPr>
                <w:rFonts w:ascii="Arial Narrow" w:hAnsi="Arial Narrow"/>
                <w:sz w:val="20"/>
                <w:szCs w:val="20"/>
              </w:rPr>
              <w:t>F= female</w:t>
            </w:r>
          </w:p>
          <w:p w14:paraId="2172D014" w14:textId="675DB824" w:rsidR="00543E7E" w:rsidRPr="002A5428" w:rsidRDefault="00543E7E" w:rsidP="0011132D">
            <w:pPr>
              <w:pStyle w:val="NoSpacing"/>
              <w:rPr>
                <w:rFonts w:ascii="Arial Narrow" w:hAnsi="Arial Narrow"/>
                <w:sz w:val="20"/>
                <w:szCs w:val="20"/>
              </w:rPr>
            </w:pPr>
            <w:r>
              <w:rPr>
                <w:rFonts w:ascii="Arial Narrow" w:hAnsi="Arial Narrow"/>
                <w:sz w:val="20"/>
                <w:szCs w:val="20"/>
              </w:rPr>
              <w:t>M= Male</w:t>
            </w:r>
          </w:p>
        </w:tc>
      </w:tr>
      <w:tr w:rsidR="003B0207" w:rsidRPr="004A3E41" w14:paraId="108C3B05" w14:textId="77777777" w:rsidTr="0011132D">
        <w:trPr>
          <w:trHeight w:val="54"/>
        </w:trPr>
        <w:tc>
          <w:tcPr>
            <w:tcW w:w="2160" w:type="dxa"/>
          </w:tcPr>
          <w:p w14:paraId="61C21AFC" w14:textId="5D162D7D" w:rsidR="003B0207" w:rsidRDefault="00543E7E" w:rsidP="0011132D">
            <w:pPr>
              <w:pStyle w:val="NoSpacing"/>
              <w:rPr>
                <w:rFonts w:ascii="Arial Narrow" w:hAnsi="Arial Narrow"/>
                <w:sz w:val="20"/>
                <w:szCs w:val="20"/>
              </w:rPr>
            </w:pPr>
            <w:r>
              <w:rPr>
                <w:rFonts w:ascii="Arial Narrow" w:hAnsi="Arial Narrow"/>
                <w:sz w:val="20"/>
                <w:szCs w:val="20"/>
              </w:rPr>
              <w:t>Race</w:t>
            </w:r>
          </w:p>
        </w:tc>
        <w:tc>
          <w:tcPr>
            <w:tcW w:w="3600" w:type="dxa"/>
          </w:tcPr>
          <w:p w14:paraId="6E9223C4" w14:textId="7C80D9DF" w:rsidR="003B0207" w:rsidRDefault="00D02404" w:rsidP="00D02404">
            <w:pPr>
              <w:pStyle w:val="NoSpacing"/>
              <w:rPr>
                <w:rFonts w:ascii="Arial Narrow" w:hAnsi="Arial Narrow"/>
                <w:sz w:val="20"/>
                <w:szCs w:val="20"/>
              </w:rPr>
            </w:pPr>
            <w:r>
              <w:rPr>
                <w:rFonts w:ascii="Arial Narrow" w:hAnsi="Arial Narrow"/>
                <w:sz w:val="20"/>
                <w:szCs w:val="20"/>
              </w:rPr>
              <w:t>R</w:t>
            </w:r>
            <w:r w:rsidRPr="00D02404">
              <w:rPr>
                <w:rFonts w:ascii="Arial Narrow" w:hAnsi="Arial Narrow"/>
                <w:sz w:val="20"/>
                <w:szCs w:val="20"/>
              </w:rPr>
              <w:t>eported race and Hispanic origin information</w:t>
            </w:r>
          </w:p>
        </w:tc>
        <w:tc>
          <w:tcPr>
            <w:tcW w:w="3600" w:type="dxa"/>
          </w:tcPr>
          <w:p w14:paraId="07471BBE" w14:textId="4E29047B" w:rsidR="002B080D" w:rsidRPr="002B080D" w:rsidRDefault="002B080D" w:rsidP="002B080D">
            <w:pPr>
              <w:pStyle w:val="NoSpacing"/>
              <w:rPr>
                <w:rFonts w:ascii="Arial Narrow" w:hAnsi="Arial Narrow"/>
                <w:sz w:val="20"/>
                <w:szCs w:val="20"/>
              </w:rPr>
            </w:pPr>
            <w:r w:rsidRPr="002B080D">
              <w:rPr>
                <w:rFonts w:ascii="Arial Narrow" w:hAnsi="Arial Narrow"/>
                <w:sz w:val="20"/>
                <w:szCs w:val="20"/>
              </w:rPr>
              <w:t xml:space="preserve">A </w:t>
            </w:r>
            <w:r w:rsidR="00177C49">
              <w:rPr>
                <w:rFonts w:ascii="Arial Narrow" w:hAnsi="Arial Narrow"/>
                <w:sz w:val="20"/>
                <w:szCs w:val="20"/>
              </w:rPr>
              <w:t xml:space="preserve">nominal </w:t>
            </w:r>
            <w:r w:rsidRPr="002B080D">
              <w:rPr>
                <w:rFonts w:ascii="Arial Narrow" w:hAnsi="Arial Narrow"/>
                <w:sz w:val="20"/>
                <w:szCs w:val="20"/>
              </w:rPr>
              <w:t>variable where</w:t>
            </w:r>
          </w:p>
          <w:p w14:paraId="4DFFF49B" w14:textId="77777777" w:rsidR="002B080D" w:rsidRPr="002B080D" w:rsidRDefault="002B080D" w:rsidP="002B080D">
            <w:pPr>
              <w:pStyle w:val="NoSpacing"/>
              <w:rPr>
                <w:rFonts w:ascii="Arial Narrow" w:hAnsi="Arial Narrow"/>
                <w:sz w:val="20"/>
                <w:szCs w:val="20"/>
              </w:rPr>
            </w:pPr>
            <w:r w:rsidRPr="002B080D">
              <w:rPr>
                <w:rFonts w:ascii="Arial Narrow" w:hAnsi="Arial Narrow"/>
                <w:sz w:val="20"/>
                <w:szCs w:val="20"/>
              </w:rPr>
              <w:t>1= Mexican American</w:t>
            </w:r>
          </w:p>
          <w:p w14:paraId="6F57BB11" w14:textId="77777777" w:rsidR="002B080D" w:rsidRPr="002B080D" w:rsidRDefault="002B080D" w:rsidP="002B080D">
            <w:pPr>
              <w:pStyle w:val="NoSpacing"/>
              <w:rPr>
                <w:rFonts w:ascii="Arial Narrow" w:hAnsi="Arial Narrow"/>
                <w:sz w:val="20"/>
                <w:szCs w:val="20"/>
              </w:rPr>
            </w:pPr>
            <w:r w:rsidRPr="002B080D">
              <w:rPr>
                <w:rFonts w:ascii="Arial Narrow" w:hAnsi="Arial Narrow"/>
                <w:sz w:val="20"/>
                <w:szCs w:val="20"/>
              </w:rPr>
              <w:t>2= Other Hispanic</w:t>
            </w:r>
          </w:p>
          <w:p w14:paraId="13B07670" w14:textId="77777777" w:rsidR="002B080D" w:rsidRPr="002B080D" w:rsidRDefault="002B080D" w:rsidP="002B080D">
            <w:pPr>
              <w:pStyle w:val="NoSpacing"/>
              <w:rPr>
                <w:rFonts w:ascii="Arial Narrow" w:hAnsi="Arial Narrow"/>
                <w:sz w:val="20"/>
                <w:szCs w:val="20"/>
              </w:rPr>
            </w:pPr>
            <w:r w:rsidRPr="002B080D">
              <w:rPr>
                <w:rFonts w:ascii="Arial Narrow" w:hAnsi="Arial Narrow"/>
                <w:sz w:val="20"/>
                <w:szCs w:val="20"/>
              </w:rPr>
              <w:t>3 = Non-Hispanic White</w:t>
            </w:r>
          </w:p>
          <w:p w14:paraId="73BC5285" w14:textId="77777777" w:rsidR="002B080D" w:rsidRPr="002B080D" w:rsidRDefault="002B080D" w:rsidP="002B080D">
            <w:pPr>
              <w:pStyle w:val="NoSpacing"/>
              <w:rPr>
                <w:rFonts w:ascii="Arial Narrow" w:hAnsi="Arial Narrow"/>
                <w:sz w:val="20"/>
                <w:szCs w:val="20"/>
              </w:rPr>
            </w:pPr>
            <w:r w:rsidRPr="002B080D">
              <w:rPr>
                <w:rFonts w:ascii="Arial Narrow" w:hAnsi="Arial Narrow"/>
                <w:sz w:val="20"/>
                <w:szCs w:val="20"/>
              </w:rPr>
              <w:t>4 = Non-Hispanic Black</w:t>
            </w:r>
          </w:p>
          <w:p w14:paraId="1AB69C20" w14:textId="77777777" w:rsidR="002B080D" w:rsidRPr="002B080D" w:rsidRDefault="002B080D" w:rsidP="002B080D">
            <w:pPr>
              <w:pStyle w:val="NoSpacing"/>
              <w:rPr>
                <w:rFonts w:ascii="Arial Narrow" w:hAnsi="Arial Narrow"/>
                <w:sz w:val="20"/>
                <w:szCs w:val="20"/>
              </w:rPr>
            </w:pPr>
            <w:r w:rsidRPr="002B080D">
              <w:rPr>
                <w:rFonts w:ascii="Arial Narrow" w:hAnsi="Arial Narrow"/>
                <w:sz w:val="20"/>
                <w:szCs w:val="20"/>
              </w:rPr>
              <w:t>6 = Non-Hispanic Asian</w:t>
            </w:r>
          </w:p>
          <w:p w14:paraId="7772F775" w14:textId="6A902900" w:rsidR="00D02404" w:rsidRPr="002A5428" w:rsidRDefault="002B080D" w:rsidP="002B080D">
            <w:pPr>
              <w:pStyle w:val="NoSpacing"/>
              <w:rPr>
                <w:rFonts w:ascii="Arial Narrow" w:hAnsi="Arial Narrow"/>
                <w:sz w:val="20"/>
                <w:szCs w:val="20"/>
              </w:rPr>
            </w:pPr>
            <w:r w:rsidRPr="002B080D">
              <w:rPr>
                <w:rFonts w:ascii="Arial Narrow" w:hAnsi="Arial Narrow"/>
                <w:sz w:val="20"/>
                <w:szCs w:val="20"/>
              </w:rPr>
              <w:t>7 = Other / Multi-Racial</w:t>
            </w:r>
          </w:p>
        </w:tc>
      </w:tr>
      <w:tr w:rsidR="003B0207" w:rsidRPr="004A3E41" w14:paraId="49E8A5A0" w14:textId="77777777" w:rsidTr="0011132D">
        <w:trPr>
          <w:trHeight w:val="54"/>
        </w:trPr>
        <w:tc>
          <w:tcPr>
            <w:tcW w:w="2160" w:type="dxa"/>
          </w:tcPr>
          <w:p w14:paraId="5C5345EB" w14:textId="77777777" w:rsidR="003B0207" w:rsidRDefault="00D02404" w:rsidP="0011132D">
            <w:pPr>
              <w:pStyle w:val="NoSpacing"/>
              <w:rPr>
                <w:rFonts w:ascii="Arial Narrow" w:hAnsi="Arial Narrow"/>
                <w:sz w:val="20"/>
                <w:szCs w:val="20"/>
              </w:rPr>
            </w:pPr>
            <w:r w:rsidRPr="00D02404">
              <w:rPr>
                <w:rFonts w:ascii="Arial Narrow" w:hAnsi="Arial Narrow"/>
                <w:sz w:val="20"/>
                <w:szCs w:val="20"/>
              </w:rPr>
              <w:t>Marital</w:t>
            </w:r>
          </w:p>
          <w:p w14:paraId="6AA79902" w14:textId="49061E55" w:rsidR="00D02404" w:rsidRDefault="00D02404" w:rsidP="0011132D">
            <w:pPr>
              <w:pStyle w:val="NoSpacing"/>
              <w:rPr>
                <w:rFonts w:ascii="Arial Narrow" w:hAnsi="Arial Narrow"/>
                <w:sz w:val="20"/>
                <w:szCs w:val="20"/>
              </w:rPr>
            </w:pPr>
            <w:r>
              <w:rPr>
                <w:rFonts w:ascii="Arial Narrow" w:hAnsi="Arial Narrow"/>
                <w:sz w:val="20"/>
                <w:szCs w:val="20"/>
              </w:rPr>
              <w:t>Married 2cat</w:t>
            </w:r>
          </w:p>
        </w:tc>
        <w:tc>
          <w:tcPr>
            <w:tcW w:w="3600" w:type="dxa"/>
          </w:tcPr>
          <w:p w14:paraId="3AA5D39E" w14:textId="6A7F4D90" w:rsidR="003B0207" w:rsidRDefault="000F16A4" w:rsidP="0011132D">
            <w:pPr>
              <w:pStyle w:val="NoSpacing"/>
              <w:rPr>
                <w:rFonts w:ascii="Arial Narrow" w:hAnsi="Arial Narrow"/>
                <w:sz w:val="20"/>
                <w:szCs w:val="20"/>
              </w:rPr>
            </w:pPr>
            <w:r>
              <w:rPr>
                <w:rFonts w:ascii="Arial Narrow" w:hAnsi="Arial Narrow"/>
                <w:sz w:val="20"/>
                <w:szCs w:val="20"/>
              </w:rPr>
              <w:t>Marital s</w:t>
            </w:r>
            <w:r w:rsidR="00D02404">
              <w:rPr>
                <w:rFonts w:ascii="Arial Narrow" w:hAnsi="Arial Narrow"/>
                <w:sz w:val="20"/>
                <w:szCs w:val="20"/>
              </w:rPr>
              <w:t>tatus</w:t>
            </w:r>
          </w:p>
        </w:tc>
        <w:tc>
          <w:tcPr>
            <w:tcW w:w="3600" w:type="dxa"/>
          </w:tcPr>
          <w:p w14:paraId="68265DDC" w14:textId="77777777" w:rsidR="003B0207" w:rsidRDefault="00D02404" w:rsidP="00D02404">
            <w:pPr>
              <w:pStyle w:val="NoSpacing"/>
              <w:rPr>
                <w:rFonts w:ascii="Arial Narrow" w:hAnsi="Arial Narrow"/>
                <w:sz w:val="20"/>
                <w:szCs w:val="20"/>
              </w:rPr>
            </w:pPr>
            <w:r>
              <w:rPr>
                <w:rFonts w:ascii="Arial Narrow" w:hAnsi="Arial Narrow"/>
                <w:sz w:val="20"/>
                <w:szCs w:val="20"/>
              </w:rPr>
              <w:t>Marital is a categorical variable where</w:t>
            </w:r>
          </w:p>
          <w:p w14:paraId="0B773FBD" w14:textId="77777777" w:rsidR="00D02404" w:rsidRDefault="00D02404" w:rsidP="00D02404">
            <w:pPr>
              <w:pStyle w:val="NoSpacing"/>
              <w:rPr>
                <w:rFonts w:ascii="Arial Narrow" w:hAnsi="Arial Narrow"/>
                <w:sz w:val="20"/>
                <w:szCs w:val="20"/>
              </w:rPr>
            </w:pPr>
            <w:r w:rsidRPr="00D02404">
              <w:rPr>
                <w:rFonts w:ascii="Arial Narrow" w:hAnsi="Arial Narrow"/>
                <w:sz w:val="20"/>
                <w:szCs w:val="20"/>
              </w:rPr>
              <w:t>1</w:t>
            </w:r>
            <w:r>
              <w:rPr>
                <w:rFonts w:ascii="Arial Narrow" w:hAnsi="Arial Narrow"/>
                <w:sz w:val="20"/>
                <w:szCs w:val="20"/>
              </w:rPr>
              <w:t>=</w:t>
            </w:r>
            <w:r w:rsidRPr="00D02404">
              <w:rPr>
                <w:rFonts w:ascii="Arial Narrow" w:hAnsi="Arial Narrow"/>
                <w:sz w:val="20"/>
                <w:szCs w:val="20"/>
              </w:rPr>
              <w:t xml:space="preserve"> Married</w:t>
            </w:r>
          </w:p>
          <w:p w14:paraId="3DCC5999" w14:textId="77777777" w:rsidR="00D02404" w:rsidRDefault="00D02404" w:rsidP="00D02404">
            <w:pPr>
              <w:pStyle w:val="NoSpacing"/>
              <w:rPr>
                <w:rFonts w:ascii="Arial Narrow" w:hAnsi="Arial Narrow"/>
                <w:sz w:val="20"/>
                <w:szCs w:val="20"/>
              </w:rPr>
            </w:pPr>
            <w:r w:rsidRPr="00D02404">
              <w:rPr>
                <w:rFonts w:ascii="Arial Narrow" w:hAnsi="Arial Narrow"/>
                <w:sz w:val="20"/>
                <w:szCs w:val="20"/>
              </w:rPr>
              <w:t>2</w:t>
            </w:r>
            <w:r>
              <w:rPr>
                <w:rFonts w:ascii="Arial Narrow" w:hAnsi="Arial Narrow"/>
                <w:sz w:val="20"/>
                <w:szCs w:val="20"/>
              </w:rPr>
              <w:t>=</w:t>
            </w:r>
            <w:r w:rsidRPr="00D02404">
              <w:rPr>
                <w:rFonts w:ascii="Arial Narrow" w:hAnsi="Arial Narrow"/>
                <w:sz w:val="20"/>
                <w:szCs w:val="20"/>
              </w:rPr>
              <w:t xml:space="preserve"> Widowed</w:t>
            </w:r>
          </w:p>
          <w:p w14:paraId="3C7F5CDB" w14:textId="77777777" w:rsidR="00D02404" w:rsidRDefault="00D02404" w:rsidP="00D02404">
            <w:pPr>
              <w:pStyle w:val="NoSpacing"/>
              <w:rPr>
                <w:rFonts w:ascii="Arial Narrow" w:hAnsi="Arial Narrow"/>
                <w:sz w:val="20"/>
                <w:szCs w:val="20"/>
              </w:rPr>
            </w:pPr>
            <w:r>
              <w:rPr>
                <w:rFonts w:ascii="Arial Narrow" w:hAnsi="Arial Narrow"/>
                <w:sz w:val="20"/>
                <w:szCs w:val="20"/>
              </w:rPr>
              <w:t>3=</w:t>
            </w:r>
            <w:r w:rsidRPr="00D02404">
              <w:rPr>
                <w:rFonts w:ascii="Arial Narrow" w:hAnsi="Arial Narrow"/>
                <w:sz w:val="20"/>
                <w:szCs w:val="20"/>
              </w:rPr>
              <w:t xml:space="preserve"> Divorced</w:t>
            </w:r>
          </w:p>
          <w:p w14:paraId="5FCB2472" w14:textId="77777777" w:rsidR="00D02404" w:rsidRDefault="00D02404" w:rsidP="00D02404">
            <w:pPr>
              <w:pStyle w:val="NoSpacing"/>
              <w:rPr>
                <w:rFonts w:ascii="Arial Narrow" w:hAnsi="Arial Narrow"/>
                <w:sz w:val="20"/>
                <w:szCs w:val="20"/>
              </w:rPr>
            </w:pPr>
            <w:r w:rsidRPr="00D02404">
              <w:rPr>
                <w:rFonts w:ascii="Arial Narrow" w:hAnsi="Arial Narrow"/>
                <w:sz w:val="20"/>
                <w:szCs w:val="20"/>
              </w:rPr>
              <w:t>4</w:t>
            </w:r>
            <w:r>
              <w:rPr>
                <w:rFonts w:ascii="Arial Narrow" w:hAnsi="Arial Narrow"/>
                <w:sz w:val="20"/>
                <w:szCs w:val="20"/>
              </w:rPr>
              <w:t>=</w:t>
            </w:r>
            <w:r w:rsidRPr="00D02404">
              <w:rPr>
                <w:rFonts w:ascii="Arial Narrow" w:hAnsi="Arial Narrow"/>
                <w:sz w:val="20"/>
                <w:szCs w:val="20"/>
              </w:rPr>
              <w:t xml:space="preserve"> Separated</w:t>
            </w:r>
          </w:p>
          <w:p w14:paraId="707CBC6F" w14:textId="77777777" w:rsidR="00D02404" w:rsidRDefault="00D02404" w:rsidP="00D02404">
            <w:pPr>
              <w:pStyle w:val="NoSpacing"/>
              <w:rPr>
                <w:rFonts w:ascii="Arial Narrow" w:hAnsi="Arial Narrow"/>
                <w:sz w:val="20"/>
                <w:szCs w:val="20"/>
              </w:rPr>
            </w:pPr>
            <w:r w:rsidRPr="00D02404">
              <w:rPr>
                <w:rFonts w:ascii="Arial Narrow" w:hAnsi="Arial Narrow"/>
                <w:sz w:val="20"/>
                <w:szCs w:val="20"/>
              </w:rPr>
              <w:t>5</w:t>
            </w:r>
            <w:r>
              <w:rPr>
                <w:rFonts w:ascii="Arial Narrow" w:hAnsi="Arial Narrow"/>
                <w:sz w:val="20"/>
                <w:szCs w:val="20"/>
              </w:rPr>
              <w:t>=</w:t>
            </w:r>
            <w:r w:rsidRPr="00D02404">
              <w:rPr>
                <w:rFonts w:ascii="Arial Narrow" w:hAnsi="Arial Narrow"/>
                <w:sz w:val="20"/>
                <w:szCs w:val="20"/>
              </w:rPr>
              <w:t xml:space="preserve"> Never married</w:t>
            </w:r>
          </w:p>
          <w:p w14:paraId="5301134E" w14:textId="701CD647" w:rsidR="00D02404" w:rsidRDefault="00D02404" w:rsidP="00D02404">
            <w:pPr>
              <w:pStyle w:val="NoSpacing"/>
              <w:rPr>
                <w:rFonts w:ascii="Arial Narrow" w:hAnsi="Arial Narrow"/>
                <w:sz w:val="20"/>
                <w:szCs w:val="20"/>
              </w:rPr>
            </w:pPr>
            <w:r w:rsidRPr="00D02404">
              <w:rPr>
                <w:rFonts w:ascii="Arial Narrow" w:hAnsi="Arial Narrow"/>
                <w:sz w:val="20"/>
                <w:szCs w:val="20"/>
              </w:rPr>
              <w:t>6</w:t>
            </w:r>
            <w:r>
              <w:rPr>
                <w:rFonts w:ascii="Arial Narrow" w:hAnsi="Arial Narrow"/>
                <w:sz w:val="20"/>
                <w:szCs w:val="20"/>
              </w:rPr>
              <w:t>= Living with partner</w:t>
            </w:r>
          </w:p>
          <w:p w14:paraId="39DD2E17" w14:textId="77777777" w:rsidR="00D02404" w:rsidRDefault="00D02404" w:rsidP="00D02404">
            <w:pPr>
              <w:pStyle w:val="NoSpacing"/>
              <w:rPr>
                <w:rFonts w:ascii="Arial Narrow" w:hAnsi="Arial Narrow"/>
                <w:sz w:val="20"/>
                <w:szCs w:val="20"/>
              </w:rPr>
            </w:pPr>
          </w:p>
          <w:p w14:paraId="17091297" w14:textId="77777777" w:rsidR="00D02404" w:rsidRDefault="00D02404" w:rsidP="00D02404">
            <w:pPr>
              <w:pStyle w:val="NoSpacing"/>
              <w:rPr>
                <w:rFonts w:ascii="Arial Narrow" w:hAnsi="Arial Narrow"/>
                <w:sz w:val="20"/>
                <w:szCs w:val="20"/>
              </w:rPr>
            </w:pPr>
            <w:r>
              <w:rPr>
                <w:rFonts w:ascii="Arial Narrow" w:hAnsi="Arial Narrow"/>
                <w:sz w:val="20"/>
                <w:szCs w:val="20"/>
              </w:rPr>
              <w:t>Married2cat is a dichotomous variable where</w:t>
            </w:r>
          </w:p>
          <w:p w14:paraId="66FD5216" w14:textId="77777777" w:rsidR="00D02404" w:rsidRDefault="00D02404" w:rsidP="00D02404">
            <w:pPr>
              <w:pStyle w:val="NoSpacing"/>
              <w:rPr>
                <w:rFonts w:ascii="Arial Narrow" w:hAnsi="Arial Narrow"/>
                <w:sz w:val="20"/>
                <w:szCs w:val="20"/>
              </w:rPr>
            </w:pPr>
            <w:r>
              <w:rPr>
                <w:rFonts w:ascii="Arial Narrow" w:hAnsi="Arial Narrow"/>
                <w:sz w:val="20"/>
                <w:szCs w:val="20"/>
              </w:rPr>
              <w:t>0= Not married or living with partner (2, 3, 4, 5)</w:t>
            </w:r>
          </w:p>
          <w:p w14:paraId="06B431D6" w14:textId="631E6C8C" w:rsidR="00D02404" w:rsidRPr="002A5428" w:rsidRDefault="00D02404" w:rsidP="00D02404">
            <w:pPr>
              <w:pStyle w:val="NoSpacing"/>
              <w:rPr>
                <w:rFonts w:ascii="Arial Narrow" w:hAnsi="Arial Narrow"/>
                <w:sz w:val="20"/>
                <w:szCs w:val="20"/>
              </w:rPr>
            </w:pPr>
            <w:r>
              <w:rPr>
                <w:rFonts w:ascii="Arial Narrow" w:hAnsi="Arial Narrow"/>
                <w:sz w:val="20"/>
                <w:szCs w:val="20"/>
              </w:rPr>
              <w:t xml:space="preserve">1= Married or living with partner (1, 6) </w:t>
            </w:r>
          </w:p>
        </w:tc>
      </w:tr>
      <w:tr w:rsidR="003B0207" w:rsidRPr="004A3E41" w14:paraId="38617F5C" w14:textId="77777777" w:rsidTr="0011132D">
        <w:trPr>
          <w:trHeight w:val="54"/>
        </w:trPr>
        <w:tc>
          <w:tcPr>
            <w:tcW w:w="2160" w:type="dxa"/>
          </w:tcPr>
          <w:p w14:paraId="4878E8E1" w14:textId="5EED56D6" w:rsidR="003B0207" w:rsidRDefault="00D02404" w:rsidP="0011132D">
            <w:pPr>
              <w:pStyle w:val="NoSpacing"/>
              <w:rPr>
                <w:rFonts w:ascii="Arial Narrow" w:hAnsi="Arial Narrow"/>
                <w:sz w:val="20"/>
                <w:szCs w:val="20"/>
              </w:rPr>
            </w:pPr>
            <w:r>
              <w:rPr>
                <w:rFonts w:ascii="Arial Narrow" w:hAnsi="Arial Narrow"/>
                <w:sz w:val="20"/>
                <w:szCs w:val="20"/>
              </w:rPr>
              <w:t>Educ</w:t>
            </w:r>
          </w:p>
          <w:p w14:paraId="2D40F103" w14:textId="6F1054B9" w:rsidR="00D02404" w:rsidRDefault="00D02404" w:rsidP="0011132D">
            <w:pPr>
              <w:pStyle w:val="NoSpacing"/>
              <w:rPr>
                <w:rFonts w:ascii="Arial Narrow" w:hAnsi="Arial Narrow"/>
                <w:sz w:val="20"/>
                <w:szCs w:val="20"/>
              </w:rPr>
            </w:pPr>
            <w:r>
              <w:rPr>
                <w:rFonts w:ascii="Arial Narrow" w:hAnsi="Arial Narrow"/>
                <w:sz w:val="20"/>
                <w:szCs w:val="20"/>
              </w:rPr>
              <w:t>Educ2cat</w:t>
            </w:r>
          </w:p>
        </w:tc>
        <w:tc>
          <w:tcPr>
            <w:tcW w:w="3600" w:type="dxa"/>
          </w:tcPr>
          <w:p w14:paraId="00EB6CB8" w14:textId="77777777" w:rsidR="006A5F9C" w:rsidRDefault="00D02404" w:rsidP="00D02404">
            <w:pPr>
              <w:pStyle w:val="NoSpacing"/>
              <w:rPr>
                <w:rFonts w:ascii="Arial Narrow" w:hAnsi="Arial Narrow"/>
                <w:sz w:val="20"/>
                <w:szCs w:val="20"/>
              </w:rPr>
            </w:pPr>
            <w:r>
              <w:rPr>
                <w:rFonts w:ascii="Arial Narrow" w:hAnsi="Arial Narrow"/>
                <w:sz w:val="20"/>
                <w:szCs w:val="20"/>
              </w:rPr>
              <w:t>Education</w:t>
            </w:r>
          </w:p>
          <w:p w14:paraId="10E89BFD" w14:textId="77777777" w:rsidR="006A5F9C" w:rsidRDefault="006A5F9C" w:rsidP="00D02404">
            <w:pPr>
              <w:pStyle w:val="NoSpacing"/>
              <w:rPr>
                <w:rFonts w:ascii="Arial Narrow" w:hAnsi="Arial Narrow"/>
                <w:sz w:val="20"/>
                <w:szCs w:val="20"/>
              </w:rPr>
            </w:pPr>
          </w:p>
          <w:p w14:paraId="2F6ACE8B" w14:textId="2775B350" w:rsidR="00D02404" w:rsidRDefault="006A5F9C" w:rsidP="00D02404">
            <w:pPr>
              <w:pStyle w:val="NoSpacing"/>
              <w:rPr>
                <w:rFonts w:ascii="Arial Narrow" w:hAnsi="Arial Narrow"/>
                <w:sz w:val="20"/>
                <w:szCs w:val="20"/>
              </w:rPr>
            </w:pPr>
            <w:r>
              <w:rPr>
                <w:rFonts w:ascii="Arial Narrow" w:hAnsi="Arial Narrow"/>
                <w:sz w:val="20"/>
                <w:szCs w:val="20"/>
              </w:rPr>
              <w:t>A</w:t>
            </w:r>
            <w:r w:rsidR="00D02404">
              <w:rPr>
                <w:rFonts w:ascii="Arial Narrow" w:hAnsi="Arial Narrow"/>
                <w:sz w:val="20"/>
                <w:szCs w:val="20"/>
              </w:rPr>
              <w:t>scertained by the question “</w:t>
            </w:r>
            <w:r w:rsidR="00D02404" w:rsidRPr="00D02404">
              <w:rPr>
                <w:rFonts w:ascii="Arial Narrow" w:hAnsi="Arial Narrow"/>
                <w:sz w:val="20"/>
                <w:szCs w:val="20"/>
              </w:rPr>
              <w:t>What is the highest grade or level of school you have completed or the highest degree you have</w:t>
            </w:r>
            <w:r w:rsidR="00D02404">
              <w:rPr>
                <w:rFonts w:ascii="Arial Narrow" w:hAnsi="Arial Narrow"/>
                <w:sz w:val="20"/>
                <w:szCs w:val="20"/>
              </w:rPr>
              <w:t xml:space="preserve"> </w:t>
            </w:r>
            <w:r w:rsidR="00D02404" w:rsidRPr="00D02404">
              <w:rPr>
                <w:rFonts w:ascii="Arial Narrow" w:hAnsi="Arial Narrow"/>
                <w:sz w:val="20"/>
                <w:szCs w:val="20"/>
              </w:rPr>
              <w:t>received?</w:t>
            </w:r>
            <w:r w:rsidR="00D02404">
              <w:rPr>
                <w:rFonts w:ascii="Arial Narrow" w:hAnsi="Arial Narrow"/>
                <w:sz w:val="20"/>
                <w:szCs w:val="20"/>
              </w:rPr>
              <w:t>”</w:t>
            </w:r>
          </w:p>
        </w:tc>
        <w:tc>
          <w:tcPr>
            <w:tcW w:w="3600" w:type="dxa"/>
          </w:tcPr>
          <w:p w14:paraId="043D5658" w14:textId="2F3CA987" w:rsidR="002371BC" w:rsidRPr="002371BC" w:rsidRDefault="002371BC" w:rsidP="002371BC">
            <w:pPr>
              <w:pStyle w:val="NoSpacing"/>
              <w:rPr>
                <w:rFonts w:ascii="Arial Narrow" w:hAnsi="Arial Narrow"/>
                <w:sz w:val="20"/>
                <w:szCs w:val="20"/>
              </w:rPr>
            </w:pPr>
            <w:r w:rsidRPr="002371BC">
              <w:rPr>
                <w:rFonts w:ascii="Arial Narrow" w:hAnsi="Arial Narrow"/>
                <w:sz w:val="20"/>
                <w:szCs w:val="20"/>
              </w:rPr>
              <w:t>Educ is a</w:t>
            </w:r>
            <w:r>
              <w:rPr>
                <w:rFonts w:ascii="Arial Narrow" w:hAnsi="Arial Narrow"/>
                <w:sz w:val="20"/>
                <w:szCs w:val="20"/>
              </w:rPr>
              <w:t xml:space="preserve">n ordinal </w:t>
            </w:r>
            <w:r w:rsidRPr="002371BC">
              <w:rPr>
                <w:rFonts w:ascii="Arial Narrow" w:hAnsi="Arial Narrow"/>
                <w:sz w:val="20"/>
                <w:szCs w:val="20"/>
              </w:rPr>
              <w:t>variable where</w:t>
            </w:r>
          </w:p>
          <w:p w14:paraId="40261801" w14:textId="77777777" w:rsidR="002371BC" w:rsidRPr="002371BC" w:rsidRDefault="002371BC" w:rsidP="002371BC">
            <w:pPr>
              <w:pStyle w:val="NoSpacing"/>
              <w:rPr>
                <w:rFonts w:ascii="Arial Narrow" w:hAnsi="Arial Narrow"/>
                <w:sz w:val="20"/>
                <w:szCs w:val="20"/>
              </w:rPr>
            </w:pPr>
            <w:r w:rsidRPr="002371BC">
              <w:rPr>
                <w:rFonts w:ascii="Arial Narrow" w:hAnsi="Arial Narrow"/>
                <w:sz w:val="20"/>
                <w:szCs w:val="20"/>
              </w:rPr>
              <w:t>1 = Less than 9th grade</w:t>
            </w:r>
          </w:p>
          <w:p w14:paraId="1073B462" w14:textId="77777777" w:rsidR="002371BC" w:rsidRPr="002371BC" w:rsidRDefault="002371BC" w:rsidP="002371BC">
            <w:pPr>
              <w:pStyle w:val="NoSpacing"/>
              <w:rPr>
                <w:rFonts w:ascii="Arial Narrow" w:hAnsi="Arial Narrow"/>
                <w:sz w:val="20"/>
                <w:szCs w:val="20"/>
              </w:rPr>
            </w:pPr>
            <w:r w:rsidRPr="002371BC">
              <w:rPr>
                <w:rFonts w:ascii="Arial Narrow" w:hAnsi="Arial Narrow"/>
                <w:sz w:val="20"/>
                <w:szCs w:val="20"/>
              </w:rPr>
              <w:t>2 = 9-12th grade (no diploma)</w:t>
            </w:r>
          </w:p>
          <w:p w14:paraId="41DBDB29" w14:textId="77777777" w:rsidR="002371BC" w:rsidRPr="002371BC" w:rsidRDefault="002371BC" w:rsidP="002371BC">
            <w:pPr>
              <w:pStyle w:val="NoSpacing"/>
              <w:rPr>
                <w:rFonts w:ascii="Arial Narrow" w:hAnsi="Arial Narrow"/>
                <w:sz w:val="20"/>
                <w:szCs w:val="20"/>
              </w:rPr>
            </w:pPr>
            <w:r w:rsidRPr="002371BC">
              <w:rPr>
                <w:rFonts w:ascii="Arial Narrow" w:hAnsi="Arial Narrow"/>
                <w:sz w:val="20"/>
                <w:szCs w:val="20"/>
              </w:rPr>
              <w:t>3 = High school graduate/GED or equivalent</w:t>
            </w:r>
          </w:p>
          <w:p w14:paraId="2A737948" w14:textId="77777777" w:rsidR="002371BC" w:rsidRPr="002371BC" w:rsidRDefault="002371BC" w:rsidP="002371BC">
            <w:pPr>
              <w:pStyle w:val="NoSpacing"/>
              <w:rPr>
                <w:rFonts w:ascii="Arial Narrow" w:hAnsi="Arial Narrow"/>
                <w:sz w:val="20"/>
                <w:szCs w:val="20"/>
              </w:rPr>
            </w:pPr>
            <w:r w:rsidRPr="002371BC">
              <w:rPr>
                <w:rFonts w:ascii="Arial Narrow" w:hAnsi="Arial Narrow"/>
                <w:sz w:val="20"/>
                <w:szCs w:val="20"/>
              </w:rPr>
              <w:t>4 = Some college or AA degree</w:t>
            </w:r>
          </w:p>
          <w:p w14:paraId="2B007A47" w14:textId="77777777" w:rsidR="002371BC" w:rsidRPr="002371BC" w:rsidRDefault="002371BC" w:rsidP="002371BC">
            <w:pPr>
              <w:pStyle w:val="NoSpacing"/>
              <w:rPr>
                <w:rFonts w:ascii="Arial Narrow" w:hAnsi="Arial Narrow"/>
                <w:sz w:val="20"/>
                <w:szCs w:val="20"/>
              </w:rPr>
            </w:pPr>
            <w:r w:rsidRPr="002371BC">
              <w:rPr>
                <w:rFonts w:ascii="Arial Narrow" w:hAnsi="Arial Narrow"/>
                <w:sz w:val="20"/>
                <w:szCs w:val="20"/>
              </w:rPr>
              <w:t>5 = College graduate or above</w:t>
            </w:r>
          </w:p>
          <w:p w14:paraId="4C5FB555" w14:textId="77777777" w:rsidR="002371BC" w:rsidRPr="002371BC" w:rsidRDefault="002371BC" w:rsidP="002371BC">
            <w:pPr>
              <w:pStyle w:val="NoSpacing"/>
              <w:rPr>
                <w:rFonts w:ascii="Arial Narrow" w:hAnsi="Arial Narrow"/>
                <w:sz w:val="20"/>
                <w:szCs w:val="20"/>
              </w:rPr>
            </w:pPr>
          </w:p>
          <w:p w14:paraId="0EBC58EC" w14:textId="7F900727" w:rsidR="002371BC" w:rsidRPr="002371BC" w:rsidRDefault="002371BC" w:rsidP="002371BC">
            <w:pPr>
              <w:pStyle w:val="NoSpacing"/>
              <w:rPr>
                <w:rFonts w:ascii="Arial Narrow" w:hAnsi="Arial Narrow"/>
                <w:sz w:val="20"/>
                <w:szCs w:val="20"/>
              </w:rPr>
            </w:pPr>
            <w:r w:rsidRPr="002371BC">
              <w:rPr>
                <w:rFonts w:ascii="Arial Narrow" w:hAnsi="Arial Narrow"/>
                <w:sz w:val="20"/>
                <w:szCs w:val="20"/>
              </w:rPr>
              <w:t>Educ2cat is a dichotomous variable where</w:t>
            </w:r>
          </w:p>
          <w:p w14:paraId="6AABFD72" w14:textId="77777777" w:rsidR="002371BC" w:rsidRPr="002371BC" w:rsidRDefault="002371BC" w:rsidP="002371BC">
            <w:pPr>
              <w:pStyle w:val="NoSpacing"/>
              <w:rPr>
                <w:rFonts w:ascii="Arial Narrow" w:hAnsi="Arial Narrow"/>
                <w:sz w:val="20"/>
                <w:szCs w:val="20"/>
              </w:rPr>
            </w:pPr>
            <w:r w:rsidRPr="002371BC">
              <w:rPr>
                <w:rFonts w:ascii="Arial Narrow" w:hAnsi="Arial Narrow"/>
                <w:sz w:val="20"/>
                <w:szCs w:val="20"/>
              </w:rPr>
              <w:t>0 = HS or less (1, 2, 3)</w:t>
            </w:r>
          </w:p>
          <w:p w14:paraId="2F8264CB" w14:textId="6326E297" w:rsidR="003B0207" w:rsidRPr="002A5428" w:rsidRDefault="002371BC" w:rsidP="002371BC">
            <w:pPr>
              <w:pStyle w:val="NoSpacing"/>
              <w:rPr>
                <w:rFonts w:ascii="Arial Narrow" w:hAnsi="Arial Narrow"/>
                <w:sz w:val="20"/>
                <w:szCs w:val="20"/>
              </w:rPr>
            </w:pPr>
            <w:r w:rsidRPr="002371BC">
              <w:rPr>
                <w:rFonts w:ascii="Arial Narrow" w:hAnsi="Arial Narrow"/>
                <w:sz w:val="20"/>
                <w:szCs w:val="20"/>
              </w:rPr>
              <w:t>1 = Some college or more (4, 5)</w:t>
            </w:r>
          </w:p>
        </w:tc>
      </w:tr>
      <w:tr w:rsidR="003B0207" w:rsidRPr="004A3E41" w14:paraId="0C27180C" w14:textId="77777777" w:rsidTr="0011132D">
        <w:trPr>
          <w:trHeight w:val="54"/>
        </w:trPr>
        <w:tc>
          <w:tcPr>
            <w:tcW w:w="2160" w:type="dxa"/>
          </w:tcPr>
          <w:p w14:paraId="61D36804" w14:textId="77777777" w:rsidR="003B0207" w:rsidRDefault="00851AE3" w:rsidP="0011132D">
            <w:pPr>
              <w:pStyle w:val="NoSpacing"/>
              <w:rPr>
                <w:rFonts w:ascii="Arial Narrow" w:hAnsi="Arial Narrow"/>
                <w:sz w:val="20"/>
                <w:szCs w:val="20"/>
              </w:rPr>
            </w:pPr>
            <w:r>
              <w:rPr>
                <w:rFonts w:ascii="Arial Narrow" w:hAnsi="Arial Narrow"/>
                <w:sz w:val="20"/>
                <w:szCs w:val="20"/>
              </w:rPr>
              <w:t>Income</w:t>
            </w:r>
          </w:p>
          <w:p w14:paraId="3D827A63" w14:textId="7E915C9D" w:rsidR="00851AE3" w:rsidRDefault="00851AE3" w:rsidP="0011132D">
            <w:pPr>
              <w:pStyle w:val="NoSpacing"/>
              <w:rPr>
                <w:rFonts w:ascii="Arial Narrow" w:hAnsi="Arial Narrow"/>
                <w:sz w:val="20"/>
                <w:szCs w:val="20"/>
              </w:rPr>
            </w:pPr>
            <w:r>
              <w:rPr>
                <w:rFonts w:ascii="Arial Narrow" w:hAnsi="Arial Narrow"/>
                <w:sz w:val="20"/>
                <w:szCs w:val="20"/>
              </w:rPr>
              <w:t>Income5cat</w:t>
            </w:r>
          </w:p>
        </w:tc>
        <w:tc>
          <w:tcPr>
            <w:tcW w:w="3600" w:type="dxa"/>
          </w:tcPr>
          <w:p w14:paraId="22361801" w14:textId="77777777" w:rsidR="000F16A4" w:rsidRDefault="00851AE3" w:rsidP="00851AE3">
            <w:pPr>
              <w:pStyle w:val="NoSpacing"/>
              <w:rPr>
                <w:rFonts w:ascii="Arial Narrow" w:hAnsi="Arial Narrow"/>
                <w:sz w:val="20"/>
                <w:szCs w:val="20"/>
              </w:rPr>
            </w:pPr>
            <w:r>
              <w:rPr>
                <w:rFonts w:ascii="Arial Narrow" w:hAnsi="Arial Narrow"/>
                <w:sz w:val="20"/>
                <w:szCs w:val="20"/>
              </w:rPr>
              <w:t>Total household income</w:t>
            </w:r>
          </w:p>
          <w:p w14:paraId="0B6F9495" w14:textId="77777777" w:rsidR="000F16A4" w:rsidRDefault="000F16A4" w:rsidP="00851AE3">
            <w:pPr>
              <w:pStyle w:val="NoSpacing"/>
              <w:rPr>
                <w:rFonts w:ascii="Arial Narrow" w:hAnsi="Arial Narrow"/>
                <w:sz w:val="20"/>
                <w:szCs w:val="20"/>
              </w:rPr>
            </w:pPr>
          </w:p>
          <w:p w14:paraId="519E0F37" w14:textId="563A2D7F" w:rsidR="003B0207" w:rsidRDefault="000F16A4" w:rsidP="000F16A4">
            <w:pPr>
              <w:pStyle w:val="NoSpacing"/>
              <w:rPr>
                <w:rFonts w:ascii="Arial Narrow" w:hAnsi="Arial Narrow"/>
                <w:sz w:val="20"/>
                <w:szCs w:val="20"/>
              </w:rPr>
            </w:pPr>
            <w:r>
              <w:rPr>
                <w:rFonts w:ascii="Arial Narrow" w:hAnsi="Arial Narrow"/>
                <w:sz w:val="20"/>
                <w:szCs w:val="20"/>
              </w:rPr>
              <w:t>R</w:t>
            </w:r>
            <w:r w:rsidR="00851AE3" w:rsidRPr="00851AE3">
              <w:rPr>
                <w:rFonts w:ascii="Arial Narrow" w:hAnsi="Arial Narrow"/>
                <w:sz w:val="20"/>
                <w:szCs w:val="20"/>
              </w:rPr>
              <w:t>epor</w:t>
            </w:r>
            <w:r w:rsidR="00851AE3">
              <w:rPr>
                <w:rFonts w:ascii="Arial Narrow" w:hAnsi="Arial Narrow"/>
                <w:sz w:val="20"/>
                <w:szCs w:val="20"/>
              </w:rPr>
              <w:t>ted as a range value in dollars</w:t>
            </w:r>
          </w:p>
        </w:tc>
        <w:tc>
          <w:tcPr>
            <w:tcW w:w="3600" w:type="dxa"/>
          </w:tcPr>
          <w:p w14:paraId="6E213216" w14:textId="188A5840" w:rsidR="003B0207" w:rsidRDefault="00C9043F" w:rsidP="0011132D">
            <w:pPr>
              <w:pStyle w:val="NoSpacing"/>
              <w:rPr>
                <w:rFonts w:ascii="Arial Narrow" w:hAnsi="Arial Narrow"/>
                <w:sz w:val="20"/>
                <w:szCs w:val="20"/>
              </w:rPr>
            </w:pPr>
            <w:r>
              <w:rPr>
                <w:rFonts w:ascii="Arial Narrow" w:hAnsi="Arial Narrow"/>
                <w:sz w:val="20"/>
                <w:szCs w:val="20"/>
              </w:rPr>
              <w:t>Income is a</w:t>
            </w:r>
            <w:r w:rsidR="00C60802">
              <w:rPr>
                <w:rFonts w:ascii="Arial Narrow" w:hAnsi="Arial Narrow"/>
                <w:sz w:val="20"/>
                <w:szCs w:val="20"/>
              </w:rPr>
              <w:t xml:space="preserve">n ordinal </w:t>
            </w:r>
            <w:r w:rsidR="00ED5462">
              <w:rPr>
                <w:rFonts w:ascii="Arial Narrow" w:hAnsi="Arial Narrow"/>
                <w:sz w:val="20"/>
                <w:szCs w:val="20"/>
              </w:rPr>
              <w:t>variable</w:t>
            </w:r>
            <w:r w:rsidR="003B666E">
              <w:rPr>
                <w:rFonts w:ascii="Arial Narrow" w:hAnsi="Arial Narrow"/>
                <w:sz w:val="20"/>
                <w:szCs w:val="20"/>
              </w:rPr>
              <w:t xml:space="preserve"> where</w:t>
            </w:r>
          </w:p>
          <w:p w14:paraId="40E48590" w14:textId="77777777" w:rsidR="003B666E" w:rsidRDefault="003B666E" w:rsidP="0011132D">
            <w:pPr>
              <w:pStyle w:val="NoSpacing"/>
              <w:rPr>
                <w:rFonts w:ascii="Arial Narrow" w:hAnsi="Arial Narrow"/>
                <w:sz w:val="20"/>
                <w:szCs w:val="20"/>
              </w:rPr>
            </w:pPr>
            <w:r>
              <w:rPr>
                <w:rFonts w:ascii="Arial Narrow" w:hAnsi="Arial Narrow"/>
                <w:sz w:val="20"/>
                <w:szCs w:val="20"/>
              </w:rPr>
              <w:t xml:space="preserve">01 = </w:t>
            </w:r>
            <w:r w:rsidR="002F1A26">
              <w:rPr>
                <w:rFonts w:ascii="Arial Narrow" w:hAnsi="Arial Narrow"/>
                <w:sz w:val="20"/>
                <w:szCs w:val="20"/>
              </w:rPr>
              <w:t>$0 to $4,999</w:t>
            </w:r>
          </w:p>
          <w:p w14:paraId="54AEA957" w14:textId="77777777" w:rsidR="002F1A26" w:rsidRDefault="002F1A26" w:rsidP="0011132D">
            <w:pPr>
              <w:pStyle w:val="NoSpacing"/>
              <w:rPr>
                <w:rFonts w:ascii="Arial Narrow" w:hAnsi="Arial Narrow"/>
                <w:sz w:val="20"/>
                <w:szCs w:val="20"/>
              </w:rPr>
            </w:pPr>
            <w:r>
              <w:rPr>
                <w:rFonts w:ascii="Arial Narrow" w:hAnsi="Arial Narrow"/>
                <w:sz w:val="20"/>
                <w:szCs w:val="20"/>
              </w:rPr>
              <w:t xml:space="preserve">02 = </w:t>
            </w:r>
            <w:r w:rsidR="0068561E">
              <w:rPr>
                <w:rFonts w:ascii="Arial Narrow" w:hAnsi="Arial Narrow"/>
                <w:sz w:val="20"/>
                <w:szCs w:val="20"/>
              </w:rPr>
              <w:t>$5,000 to $9,999</w:t>
            </w:r>
          </w:p>
          <w:p w14:paraId="252AD940" w14:textId="77777777" w:rsidR="0068561E" w:rsidRDefault="0068561E" w:rsidP="0011132D">
            <w:pPr>
              <w:pStyle w:val="NoSpacing"/>
              <w:rPr>
                <w:rFonts w:ascii="Arial Narrow" w:hAnsi="Arial Narrow"/>
                <w:sz w:val="20"/>
                <w:szCs w:val="20"/>
              </w:rPr>
            </w:pPr>
            <w:r>
              <w:rPr>
                <w:rFonts w:ascii="Arial Narrow" w:hAnsi="Arial Narrow"/>
                <w:sz w:val="20"/>
                <w:szCs w:val="20"/>
              </w:rPr>
              <w:t>03 = $10,000 to 14,999</w:t>
            </w:r>
          </w:p>
          <w:p w14:paraId="46BC1602" w14:textId="77777777" w:rsidR="0068561E" w:rsidRDefault="0068561E" w:rsidP="0011132D">
            <w:pPr>
              <w:pStyle w:val="NoSpacing"/>
              <w:rPr>
                <w:rFonts w:ascii="Arial Narrow" w:hAnsi="Arial Narrow"/>
                <w:sz w:val="20"/>
                <w:szCs w:val="20"/>
              </w:rPr>
            </w:pPr>
            <w:r>
              <w:rPr>
                <w:rFonts w:ascii="Arial Narrow" w:hAnsi="Arial Narrow"/>
                <w:sz w:val="20"/>
                <w:szCs w:val="20"/>
              </w:rPr>
              <w:t>04 = $15,000 to $19,999</w:t>
            </w:r>
          </w:p>
          <w:p w14:paraId="352D205E" w14:textId="77777777" w:rsidR="0068561E" w:rsidRDefault="0068561E" w:rsidP="0011132D">
            <w:pPr>
              <w:pStyle w:val="NoSpacing"/>
              <w:rPr>
                <w:rFonts w:ascii="Arial Narrow" w:hAnsi="Arial Narrow"/>
                <w:sz w:val="20"/>
                <w:szCs w:val="20"/>
              </w:rPr>
            </w:pPr>
            <w:r>
              <w:rPr>
                <w:rFonts w:ascii="Arial Narrow" w:hAnsi="Arial Narrow"/>
                <w:sz w:val="20"/>
                <w:szCs w:val="20"/>
              </w:rPr>
              <w:t>05 = $20,000 to $24,999</w:t>
            </w:r>
          </w:p>
          <w:p w14:paraId="4268BCC6" w14:textId="77777777" w:rsidR="00051805" w:rsidRDefault="00051805" w:rsidP="0011132D">
            <w:pPr>
              <w:pStyle w:val="NoSpacing"/>
              <w:rPr>
                <w:rFonts w:ascii="Arial Narrow" w:hAnsi="Arial Narrow"/>
                <w:sz w:val="20"/>
                <w:szCs w:val="20"/>
              </w:rPr>
            </w:pPr>
            <w:r>
              <w:rPr>
                <w:rFonts w:ascii="Arial Narrow" w:hAnsi="Arial Narrow"/>
                <w:sz w:val="20"/>
                <w:szCs w:val="20"/>
              </w:rPr>
              <w:t>06 = $25,000 to $34,999</w:t>
            </w:r>
          </w:p>
          <w:p w14:paraId="3FF76D00" w14:textId="77777777" w:rsidR="00051805" w:rsidRDefault="00051805" w:rsidP="0011132D">
            <w:pPr>
              <w:pStyle w:val="NoSpacing"/>
              <w:rPr>
                <w:rFonts w:ascii="Arial Narrow" w:hAnsi="Arial Narrow"/>
                <w:sz w:val="20"/>
                <w:szCs w:val="20"/>
              </w:rPr>
            </w:pPr>
            <w:r>
              <w:rPr>
                <w:rFonts w:ascii="Arial Narrow" w:hAnsi="Arial Narrow"/>
                <w:sz w:val="20"/>
                <w:szCs w:val="20"/>
              </w:rPr>
              <w:t xml:space="preserve">07 = </w:t>
            </w:r>
            <w:r w:rsidR="00E22137">
              <w:rPr>
                <w:rFonts w:ascii="Arial Narrow" w:hAnsi="Arial Narrow"/>
                <w:sz w:val="20"/>
                <w:szCs w:val="20"/>
              </w:rPr>
              <w:t>$35,000 to $44,999</w:t>
            </w:r>
          </w:p>
          <w:p w14:paraId="4B7740ED" w14:textId="77777777" w:rsidR="00E22137" w:rsidRDefault="00E22137" w:rsidP="0011132D">
            <w:pPr>
              <w:pStyle w:val="NoSpacing"/>
              <w:rPr>
                <w:rFonts w:ascii="Arial Narrow" w:hAnsi="Arial Narrow"/>
                <w:sz w:val="20"/>
                <w:szCs w:val="20"/>
              </w:rPr>
            </w:pPr>
            <w:r>
              <w:rPr>
                <w:rFonts w:ascii="Arial Narrow" w:hAnsi="Arial Narrow"/>
                <w:sz w:val="20"/>
                <w:szCs w:val="20"/>
              </w:rPr>
              <w:t>08 = $45,000 to $54,999</w:t>
            </w:r>
          </w:p>
          <w:p w14:paraId="47C5571B" w14:textId="77777777" w:rsidR="00E22137" w:rsidRDefault="00E22137" w:rsidP="0011132D">
            <w:pPr>
              <w:pStyle w:val="NoSpacing"/>
              <w:rPr>
                <w:rFonts w:ascii="Arial Narrow" w:hAnsi="Arial Narrow"/>
                <w:sz w:val="20"/>
                <w:szCs w:val="20"/>
              </w:rPr>
            </w:pPr>
            <w:r>
              <w:rPr>
                <w:rFonts w:ascii="Arial Narrow" w:hAnsi="Arial Narrow"/>
                <w:sz w:val="20"/>
                <w:szCs w:val="20"/>
              </w:rPr>
              <w:t>09 = $55,000 to $64,999</w:t>
            </w:r>
          </w:p>
          <w:p w14:paraId="4A93A704" w14:textId="77777777" w:rsidR="00E22137" w:rsidRDefault="00E22137" w:rsidP="0011132D">
            <w:pPr>
              <w:pStyle w:val="NoSpacing"/>
              <w:rPr>
                <w:rFonts w:ascii="Arial Narrow" w:hAnsi="Arial Narrow"/>
                <w:sz w:val="20"/>
                <w:szCs w:val="20"/>
              </w:rPr>
            </w:pPr>
            <w:r>
              <w:rPr>
                <w:rFonts w:ascii="Arial Narrow" w:hAnsi="Arial Narrow"/>
                <w:sz w:val="20"/>
                <w:szCs w:val="20"/>
              </w:rPr>
              <w:t xml:space="preserve">10 = </w:t>
            </w:r>
            <w:r w:rsidR="00AF3EFC">
              <w:rPr>
                <w:rFonts w:ascii="Arial Narrow" w:hAnsi="Arial Narrow"/>
                <w:sz w:val="20"/>
                <w:szCs w:val="20"/>
              </w:rPr>
              <w:t>$65,000 to $74,999</w:t>
            </w:r>
          </w:p>
          <w:p w14:paraId="6E465C29" w14:textId="77777777" w:rsidR="00AF3EFC" w:rsidRDefault="00AF3EFC" w:rsidP="0011132D">
            <w:pPr>
              <w:pStyle w:val="NoSpacing"/>
              <w:rPr>
                <w:rFonts w:ascii="Arial Narrow" w:hAnsi="Arial Narrow"/>
                <w:sz w:val="20"/>
                <w:szCs w:val="20"/>
              </w:rPr>
            </w:pPr>
            <w:r>
              <w:rPr>
                <w:rFonts w:ascii="Arial Narrow" w:hAnsi="Arial Narrow"/>
                <w:sz w:val="20"/>
                <w:szCs w:val="20"/>
              </w:rPr>
              <w:t xml:space="preserve">12 = </w:t>
            </w:r>
            <w:r w:rsidR="00C9043F">
              <w:rPr>
                <w:rFonts w:ascii="Arial Narrow" w:hAnsi="Arial Narrow"/>
                <w:sz w:val="20"/>
                <w:szCs w:val="20"/>
              </w:rPr>
              <w:t>$20,000 and over</w:t>
            </w:r>
          </w:p>
          <w:p w14:paraId="34D495DC" w14:textId="77777777" w:rsidR="00C9043F" w:rsidRDefault="00C9043F" w:rsidP="0011132D">
            <w:pPr>
              <w:pStyle w:val="NoSpacing"/>
              <w:rPr>
                <w:rFonts w:ascii="Arial Narrow" w:hAnsi="Arial Narrow"/>
                <w:sz w:val="20"/>
                <w:szCs w:val="20"/>
              </w:rPr>
            </w:pPr>
            <w:r>
              <w:rPr>
                <w:rFonts w:ascii="Arial Narrow" w:hAnsi="Arial Narrow"/>
                <w:sz w:val="20"/>
                <w:szCs w:val="20"/>
              </w:rPr>
              <w:t>13 = Under $20,000</w:t>
            </w:r>
          </w:p>
          <w:p w14:paraId="730E6CBE" w14:textId="77777777" w:rsidR="00C9043F" w:rsidRDefault="00C9043F" w:rsidP="0011132D">
            <w:pPr>
              <w:pStyle w:val="NoSpacing"/>
              <w:rPr>
                <w:rFonts w:ascii="Arial Narrow" w:hAnsi="Arial Narrow"/>
                <w:sz w:val="20"/>
                <w:szCs w:val="20"/>
              </w:rPr>
            </w:pPr>
            <w:r>
              <w:rPr>
                <w:rFonts w:ascii="Arial Narrow" w:hAnsi="Arial Narrow"/>
                <w:sz w:val="20"/>
                <w:szCs w:val="20"/>
              </w:rPr>
              <w:t xml:space="preserve">14 = </w:t>
            </w:r>
            <w:r w:rsidR="00B9343D">
              <w:rPr>
                <w:rFonts w:ascii="Arial Narrow" w:hAnsi="Arial Narrow"/>
                <w:sz w:val="20"/>
                <w:szCs w:val="20"/>
              </w:rPr>
              <w:t>$75,000 to $99,999</w:t>
            </w:r>
          </w:p>
          <w:p w14:paraId="3B3DA205" w14:textId="77777777" w:rsidR="00B9343D" w:rsidRDefault="00B9343D" w:rsidP="0011132D">
            <w:pPr>
              <w:pStyle w:val="NoSpacing"/>
              <w:rPr>
                <w:rFonts w:ascii="Arial Narrow" w:hAnsi="Arial Narrow"/>
                <w:sz w:val="20"/>
                <w:szCs w:val="20"/>
              </w:rPr>
            </w:pPr>
            <w:r>
              <w:rPr>
                <w:rFonts w:ascii="Arial Narrow" w:hAnsi="Arial Narrow"/>
                <w:sz w:val="20"/>
                <w:szCs w:val="20"/>
              </w:rPr>
              <w:t>15 = $100,000 and over</w:t>
            </w:r>
          </w:p>
          <w:p w14:paraId="0B75E54D" w14:textId="77777777" w:rsidR="00B9343D" w:rsidRDefault="00B9343D" w:rsidP="0011132D">
            <w:pPr>
              <w:pStyle w:val="NoSpacing"/>
              <w:rPr>
                <w:rFonts w:ascii="Arial Narrow" w:hAnsi="Arial Narrow"/>
                <w:sz w:val="20"/>
                <w:szCs w:val="20"/>
              </w:rPr>
            </w:pPr>
            <w:r>
              <w:rPr>
                <w:rFonts w:ascii="Arial Narrow" w:hAnsi="Arial Narrow"/>
                <w:sz w:val="20"/>
                <w:szCs w:val="20"/>
              </w:rPr>
              <w:t>77 = Refused</w:t>
            </w:r>
          </w:p>
          <w:p w14:paraId="2FDC7724" w14:textId="77777777" w:rsidR="00B9343D" w:rsidRDefault="00B9343D" w:rsidP="0011132D">
            <w:pPr>
              <w:pStyle w:val="NoSpacing"/>
              <w:rPr>
                <w:rFonts w:ascii="Arial Narrow" w:hAnsi="Arial Narrow"/>
                <w:sz w:val="20"/>
                <w:szCs w:val="20"/>
              </w:rPr>
            </w:pPr>
            <w:r>
              <w:rPr>
                <w:rFonts w:ascii="Arial Narrow" w:hAnsi="Arial Narrow"/>
                <w:sz w:val="20"/>
                <w:szCs w:val="20"/>
              </w:rPr>
              <w:t>99 = Don’t know</w:t>
            </w:r>
          </w:p>
          <w:p w14:paraId="44529C90" w14:textId="77777777" w:rsidR="0021491C" w:rsidRDefault="0021491C" w:rsidP="0011132D">
            <w:pPr>
              <w:pStyle w:val="NoSpacing"/>
              <w:rPr>
                <w:rFonts w:ascii="Arial Narrow" w:hAnsi="Arial Narrow"/>
                <w:sz w:val="20"/>
                <w:szCs w:val="20"/>
              </w:rPr>
            </w:pPr>
          </w:p>
          <w:p w14:paraId="55FDF2F8" w14:textId="77777777" w:rsidR="0021491C" w:rsidRDefault="0021491C" w:rsidP="0011132D">
            <w:pPr>
              <w:pStyle w:val="NoSpacing"/>
              <w:rPr>
                <w:rFonts w:ascii="Arial Narrow" w:hAnsi="Arial Narrow"/>
                <w:sz w:val="20"/>
                <w:szCs w:val="20"/>
              </w:rPr>
            </w:pPr>
            <w:r>
              <w:rPr>
                <w:rFonts w:ascii="Arial Narrow" w:hAnsi="Arial Narrow"/>
                <w:sz w:val="20"/>
                <w:szCs w:val="20"/>
              </w:rPr>
              <w:t>Income5cat is an ordinal variable where</w:t>
            </w:r>
          </w:p>
          <w:p w14:paraId="5A5C6B5C" w14:textId="77777777" w:rsidR="0021491C" w:rsidRDefault="008513AC" w:rsidP="0011132D">
            <w:pPr>
              <w:pStyle w:val="NoSpacing"/>
              <w:rPr>
                <w:rFonts w:ascii="Arial Narrow" w:hAnsi="Arial Narrow"/>
                <w:sz w:val="20"/>
                <w:szCs w:val="20"/>
              </w:rPr>
            </w:pPr>
            <w:r>
              <w:rPr>
                <w:rFonts w:ascii="Arial Narrow" w:hAnsi="Arial Narrow"/>
                <w:sz w:val="20"/>
                <w:szCs w:val="20"/>
              </w:rPr>
              <w:t>0: Under 20k</w:t>
            </w:r>
          </w:p>
          <w:p w14:paraId="715AD23B" w14:textId="77777777" w:rsidR="008513AC" w:rsidRDefault="008513AC" w:rsidP="0011132D">
            <w:pPr>
              <w:pStyle w:val="NoSpacing"/>
              <w:rPr>
                <w:rFonts w:ascii="Arial Narrow" w:hAnsi="Arial Narrow"/>
                <w:sz w:val="20"/>
                <w:szCs w:val="20"/>
              </w:rPr>
            </w:pPr>
            <w:r>
              <w:rPr>
                <w:rFonts w:ascii="Arial Narrow" w:hAnsi="Arial Narrow"/>
                <w:sz w:val="20"/>
                <w:szCs w:val="20"/>
              </w:rPr>
              <w:t>1: 20k to &lt;45k</w:t>
            </w:r>
          </w:p>
          <w:p w14:paraId="77235376" w14:textId="77777777" w:rsidR="008513AC" w:rsidRDefault="008513AC" w:rsidP="0011132D">
            <w:pPr>
              <w:pStyle w:val="NoSpacing"/>
              <w:rPr>
                <w:rFonts w:ascii="Arial Narrow" w:hAnsi="Arial Narrow"/>
                <w:sz w:val="20"/>
                <w:szCs w:val="20"/>
              </w:rPr>
            </w:pPr>
            <w:r>
              <w:rPr>
                <w:rFonts w:ascii="Arial Narrow" w:hAnsi="Arial Narrow"/>
                <w:sz w:val="20"/>
                <w:szCs w:val="20"/>
              </w:rPr>
              <w:t>2: 45k to &lt;75k</w:t>
            </w:r>
          </w:p>
          <w:p w14:paraId="1B992898" w14:textId="77777777" w:rsidR="008513AC" w:rsidRDefault="008513AC" w:rsidP="0011132D">
            <w:pPr>
              <w:pStyle w:val="NoSpacing"/>
              <w:rPr>
                <w:rFonts w:ascii="Arial Narrow" w:hAnsi="Arial Narrow"/>
                <w:sz w:val="20"/>
                <w:szCs w:val="20"/>
              </w:rPr>
            </w:pPr>
            <w:r>
              <w:rPr>
                <w:rFonts w:ascii="Arial Narrow" w:hAnsi="Arial Narrow"/>
                <w:sz w:val="20"/>
                <w:szCs w:val="20"/>
              </w:rPr>
              <w:t xml:space="preserve">3: </w:t>
            </w:r>
            <w:r w:rsidR="00C60802">
              <w:rPr>
                <w:rFonts w:ascii="Arial Narrow" w:hAnsi="Arial Narrow"/>
                <w:sz w:val="20"/>
                <w:szCs w:val="20"/>
              </w:rPr>
              <w:t>75k and over</w:t>
            </w:r>
          </w:p>
          <w:p w14:paraId="37BA965C" w14:textId="5B791CD3" w:rsidR="00C60802" w:rsidRPr="002A5428" w:rsidRDefault="00C60802" w:rsidP="0011132D">
            <w:pPr>
              <w:pStyle w:val="NoSpacing"/>
              <w:rPr>
                <w:rFonts w:ascii="Arial Narrow" w:hAnsi="Arial Narrow"/>
                <w:sz w:val="20"/>
                <w:szCs w:val="20"/>
              </w:rPr>
            </w:pPr>
            <w:r>
              <w:rPr>
                <w:rFonts w:ascii="Arial Narrow" w:hAnsi="Arial Narrow"/>
                <w:sz w:val="20"/>
                <w:szCs w:val="20"/>
              </w:rPr>
              <w:t>98: Refused/DK</w:t>
            </w:r>
          </w:p>
        </w:tc>
      </w:tr>
      <w:tr w:rsidR="003B0207" w:rsidRPr="004A3E41" w14:paraId="71F5C920" w14:textId="77777777" w:rsidTr="0011132D">
        <w:trPr>
          <w:trHeight w:val="54"/>
        </w:trPr>
        <w:tc>
          <w:tcPr>
            <w:tcW w:w="2160" w:type="dxa"/>
          </w:tcPr>
          <w:p w14:paraId="33E63A06" w14:textId="370CCEBA" w:rsidR="003B0207" w:rsidRDefault="00835D70" w:rsidP="0011132D">
            <w:pPr>
              <w:pStyle w:val="NoSpacing"/>
              <w:rPr>
                <w:rFonts w:ascii="Arial Narrow" w:hAnsi="Arial Narrow"/>
                <w:sz w:val="20"/>
                <w:szCs w:val="20"/>
              </w:rPr>
            </w:pPr>
            <w:r>
              <w:rPr>
                <w:rFonts w:ascii="Arial Narrow" w:hAnsi="Arial Narrow"/>
                <w:sz w:val="20"/>
                <w:szCs w:val="20"/>
              </w:rPr>
              <w:t>BMI</w:t>
            </w:r>
          </w:p>
        </w:tc>
        <w:tc>
          <w:tcPr>
            <w:tcW w:w="3600" w:type="dxa"/>
          </w:tcPr>
          <w:p w14:paraId="46346523" w14:textId="77777777" w:rsidR="003B0207" w:rsidRDefault="00835D70" w:rsidP="0011132D">
            <w:pPr>
              <w:pStyle w:val="NoSpacing"/>
              <w:rPr>
                <w:rFonts w:ascii="Arial Narrow" w:hAnsi="Arial Narrow"/>
                <w:sz w:val="20"/>
                <w:szCs w:val="20"/>
              </w:rPr>
            </w:pPr>
            <w:r>
              <w:rPr>
                <w:rFonts w:ascii="Arial Narrow" w:hAnsi="Arial Narrow"/>
                <w:sz w:val="20"/>
                <w:szCs w:val="20"/>
              </w:rPr>
              <w:t>Body mass index (kg/m</w:t>
            </w:r>
            <w:r w:rsidRPr="00835D70">
              <w:rPr>
                <w:rFonts w:ascii="Arial Narrow" w:hAnsi="Arial Narrow"/>
                <w:sz w:val="20"/>
                <w:szCs w:val="20"/>
                <w:vertAlign w:val="superscript"/>
              </w:rPr>
              <w:t>2</w:t>
            </w:r>
            <w:r>
              <w:rPr>
                <w:rFonts w:ascii="Arial Narrow" w:hAnsi="Arial Narrow"/>
                <w:sz w:val="20"/>
                <w:szCs w:val="20"/>
              </w:rPr>
              <w:t>)</w:t>
            </w:r>
          </w:p>
          <w:p w14:paraId="48BFA0D8" w14:textId="77777777" w:rsidR="00835D70" w:rsidRDefault="00835D70" w:rsidP="0011132D">
            <w:pPr>
              <w:pStyle w:val="NoSpacing"/>
              <w:rPr>
                <w:rFonts w:ascii="Arial Narrow" w:hAnsi="Arial Narrow"/>
                <w:sz w:val="20"/>
                <w:szCs w:val="20"/>
              </w:rPr>
            </w:pPr>
          </w:p>
          <w:p w14:paraId="224CB5B3" w14:textId="2E66EE27" w:rsidR="00835D70" w:rsidRDefault="00835D70" w:rsidP="005C3370">
            <w:pPr>
              <w:pStyle w:val="NoSpacing"/>
              <w:rPr>
                <w:rFonts w:ascii="Arial Narrow" w:hAnsi="Arial Narrow"/>
                <w:sz w:val="20"/>
                <w:szCs w:val="20"/>
              </w:rPr>
            </w:pPr>
            <w:r>
              <w:rPr>
                <w:rFonts w:ascii="Arial Narrow" w:hAnsi="Arial Narrow"/>
                <w:sz w:val="20"/>
                <w:szCs w:val="20"/>
              </w:rPr>
              <w:t>A valid range is</w:t>
            </w:r>
            <w:r w:rsidR="005C3370">
              <w:rPr>
                <w:rFonts w:ascii="Arial Narrow" w:hAnsi="Arial Narrow"/>
                <w:sz w:val="20"/>
                <w:szCs w:val="20"/>
              </w:rPr>
              <w:t xml:space="preserve"> 15 ≤ BMI &lt; 70</w:t>
            </w:r>
          </w:p>
        </w:tc>
        <w:tc>
          <w:tcPr>
            <w:tcW w:w="3600" w:type="dxa"/>
          </w:tcPr>
          <w:p w14:paraId="73E34C5F" w14:textId="6B97EA67" w:rsidR="003B0207" w:rsidRPr="002A5428" w:rsidRDefault="004A221E" w:rsidP="0011132D">
            <w:pPr>
              <w:pStyle w:val="NoSpacing"/>
              <w:rPr>
                <w:rFonts w:ascii="Arial Narrow" w:hAnsi="Arial Narrow"/>
                <w:sz w:val="20"/>
                <w:szCs w:val="20"/>
              </w:rPr>
            </w:pPr>
            <w:r>
              <w:rPr>
                <w:rFonts w:ascii="Arial Narrow" w:eastAsia="Calibri" w:hAnsi="Arial Narrow" w:cs="Times New Roman"/>
                <w:sz w:val="20"/>
                <w:szCs w:val="20"/>
              </w:rPr>
              <w:t>A continuous variable with values ranging from 16.6 to 84.4.</w:t>
            </w:r>
          </w:p>
        </w:tc>
      </w:tr>
      <w:tr w:rsidR="005C2B99" w:rsidRPr="004A3E41" w14:paraId="252E946C" w14:textId="77777777" w:rsidTr="0011132D">
        <w:trPr>
          <w:trHeight w:val="54"/>
        </w:trPr>
        <w:tc>
          <w:tcPr>
            <w:tcW w:w="2160" w:type="dxa"/>
          </w:tcPr>
          <w:p w14:paraId="4B314AD1" w14:textId="3E66A287" w:rsidR="005C2B99" w:rsidRDefault="005C2B99" w:rsidP="0011132D">
            <w:pPr>
              <w:pStyle w:val="NoSpacing"/>
              <w:rPr>
                <w:rFonts w:ascii="Arial Narrow" w:hAnsi="Arial Narrow"/>
                <w:sz w:val="20"/>
                <w:szCs w:val="20"/>
              </w:rPr>
            </w:pPr>
            <w:r>
              <w:rPr>
                <w:rFonts w:ascii="Arial Narrow" w:hAnsi="Arial Narrow"/>
                <w:sz w:val="20"/>
                <w:szCs w:val="20"/>
              </w:rPr>
              <w:t>Smoking</w:t>
            </w:r>
          </w:p>
        </w:tc>
        <w:tc>
          <w:tcPr>
            <w:tcW w:w="3600" w:type="dxa"/>
          </w:tcPr>
          <w:p w14:paraId="633AED3F" w14:textId="77777777" w:rsidR="005C2B99" w:rsidRDefault="000F16A4" w:rsidP="0011132D">
            <w:pPr>
              <w:pStyle w:val="NoSpacing"/>
              <w:rPr>
                <w:rFonts w:ascii="Arial Narrow" w:hAnsi="Arial Narrow"/>
                <w:sz w:val="20"/>
                <w:szCs w:val="20"/>
              </w:rPr>
            </w:pPr>
            <w:r>
              <w:rPr>
                <w:rFonts w:ascii="Arial Narrow" w:hAnsi="Arial Narrow"/>
                <w:sz w:val="20"/>
                <w:szCs w:val="20"/>
              </w:rPr>
              <w:t>Smoking status</w:t>
            </w:r>
          </w:p>
          <w:p w14:paraId="02013FA3" w14:textId="77777777" w:rsidR="000F16A4" w:rsidRDefault="000F16A4" w:rsidP="0011132D">
            <w:pPr>
              <w:pStyle w:val="NoSpacing"/>
              <w:rPr>
                <w:rFonts w:ascii="Arial Narrow" w:hAnsi="Arial Narrow"/>
                <w:sz w:val="20"/>
                <w:szCs w:val="20"/>
              </w:rPr>
            </w:pPr>
          </w:p>
          <w:p w14:paraId="15BC109A" w14:textId="77777777" w:rsidR="000F16A4" w:rsidRDefault="000F16A4" w:rsidP="0011132D">
            <w:pPr>
              <w:pStyle w:val="NoSpacing"/>
              <w:rPr>
                <w:rFonts w:ascii="Arial Narrow" w:hAnsi="Arial Narrow"/>
                <w:sz w:val="20"/>
                <w:szCs w:val="20"/>
              </w:rPr>
            </w:pPr>
            <w:r>
              <w:rPr>
                <w:rFonts w:ascii="Arial Narrow" w:hAnsi="Arial Narrow"/>
                <w:sz w:val="20"/>
                <w:szCs w:val="20"/>
              </w:rPr>
              <w:t>Derived from two questions: 1) “</w:t>
            </w:r>
            <w:r w:rsidRPr="000F16A4">
              <w:rPr>
                <w:rFonts w:ascii="Arial Narrow" w:hAnsi="Arial Narrow"/>
                <w:sz w:val="20"/>
                <w:szCs w:val="20"/>
              </w:rPr>
              <w:t>Have you</w:t>
            </w:r>
            <w:r>
              <w:rPr>
                <w:rFonts w:ascii="Arial Narrow" w:hAnsi="Arial Narrow"/>
                <w:sz w:val="20"/>
                <w:szCs w:val="20"/>
              </w:rPr>
              <w:t xml:space="preserve"> </w:t>
            </w:r>
            <w:r w:rsidRPr="000F16A4">
              <w:rPr>
                <w:rFonts w:ascii="Arial Narrow" w:hAnsi="Arial Narrow"/>
                <w:sz w:val="20"/>
                <w:szCs w:val="20"/>
              </w:rPr>
              <w:t>smoked at least 100 cigarettes in your entire life?</w:t>
            </w:r>
            <w:r>
              <w:rPr>
                <w:rFonts w:ascii="Arial Narrow" w:hAnsi="Arial Narrow"/>
                <w:sz w:val="20"/>
                <w:szCs w:val="20"/>
              </w:rPr>
              <w:t>” and 2) “</w:t>
            </w:r>
            <w:r w:rsidRPr="000F16A4">
              <w:rPr>
                <w:rFonts w:ascii="Arial Narrow" w:hAnsi="Arial Narrow"/>
                <w:sz w:val="20"/>
                <w:szCs w:val="20"/>
              </w:rPr>
              <w:t>Do you now smoke cigarettes?</w:t>
            </w:r>
            <w:r>
              <w:rPr>
                <w:rFonts w:ascii="Arial Narrow" w:hAnsi="Arial Narrow"/>
                <w:sz w:val="20"/>
                <w:szCs w:val="20"/>
              </w:rPr>
              <w:t>”.</w:t>
            </w:r>
          </w:p>
          <w:p w14:paraId="1EC0002D" w14:textId="77777777" w:rsidR="000F16A4" w:rsidRDefault="000F16A4" w:rsidP="0011132D">
            <w:pPr>
              <w:pStyle w:val="NoSpacing"/>
              <w:rPr>
                <w:rFonts w:ascii="Arial Narrow" w:hAnsi="Arial Narrow"/>
                <w:sz w:val="20"/>
                <w:szCs w:val="20"/>
              </w:rPr>
            </w:pPr>
          </w:p>
          <w:p w14:paraId="3D100D51" w14:textId="13DB7A52" w:rsidR="000F16A4" w:rsidRDefault="000F16A4" w:rsidP="000F16A4">
            <w:pPr>
              <w:pStyle w:val="NoSpacing"/>
              <w:rPr>
                <w:rFonts w:ascii="Arial Narrow" w:hAnsi="Arial Narrow"/>
                <w:sz w:val="20"/>
                <w:szCs w:val="20"/>
              </w:rPr>
            </w:pPr>
            <w:r>
              <w:rPr>
                <w:rFonts w:ascii="Arial Narrow" w:hAnsi="Arial Narrow"/>
                <w:sz w:val="20"/>
                <w:szCs w:val="20"/>
              </w:rPr>
              <w:t>Current smoker is defined as yes/yes. Former smoker is defined as yes/no. Never smoker is defined as no/no.</w:t>
            </w:r>
          </w:p>
        </w:tc>
        <w:tc>
          <w:tcPr>
            <w:tcW w:w="3600" w:type="dxa"/>
          </w:tcPr>
          <w:p w14:paraId="259E4863" w14:textId="3B1F4A7D" w:rsidR="004B6DBE" w:rsidRPr="004B6DBE" w:rsidRDefault="004B6DBE" w:rsidP="004B6DBE">
            <w:pPr>
              <w:pStyle w:val="NoSpacing"/>
              <w:rPr>
                <w:rFonts w:ascii="Arial Narrow" w:hAnsi="Arial Narrow"/>
                <w:sz w:val="20"/>
                <w:szCs w:val="20"/>
              </w:rPr>
            </w:pPr>
            <w:r w:rsidRPr="004B6DBE">
              <w:rPr>
                <w:rFonts w:ascii="Arial Narrow" w:hAnsi="Arial Narrow"/>
                <w:sz w:val="20"/>
                <w:szCs w:val="20"/>
              </w:rPr>
              <w:t>A</w:t>
            </w:r>
            <w:r w:rsidR="008B224A">
              <w:rPr>
                <w:rFonts w:ascii="Arial Narrow" w:hAnsi="Arial Narrow"/>
                <w:sz w:val="20"/>
                <w:szCs w:val="20"/>
              </w:rPr>
              <w:t xml:space="preserve">n ordinal </w:t>
            </w:r>
            <w:r w:rsidRPr="004B6DBE">
              <w:rPr>
                <w:rFonts w:ascii="Arial Narrow" w:hAnsi="Arial Narrow"/>
                <w:sz w:val="20"/>
                <w:szCs w:val="20"/>
              </w:rPr>
              <w:t>variable where</w:t>
            </w:r>
          </w:p>
          <w:p w14:paraId="444BBE8E" w14:textId="77777777" w:rsidR="004B6DBE" w:rsidRPr="004B6DBE" w:rsidRDefault="004B6DBE" w:rsidP="004B6DBE">
            <w:pPr>
              <w:pStyle w:val="NoSpacing"/>
              <w:rPr>
                <w:rFonts w:ascii="Arial Narrow" w:hAnsi="Arial Narrow"/>
                <w:sz w:val="20"/>
                <w:szCs w:val="20"/>
              </w:rPr>
            </w:pPr>
            <w:r w:rsidRPr="004B6DBE">
              <w:rPr>
                <w:rFonts w:ascii="Arial Narrow" w:hAnsi="Arial Narrow"/>
                <w:sz w:val="20"/>
                <w:szCs w:val="20"/>
              </w:rPr>
              <w:t>0 = Never</w:t>
            </w:r>
          </w:p>
          <w:p w14:paraId="28DA1718" w14:textId="77777777" w:rsidR="004B6DBE" w:rsidRPr="004B6DBE" w:rsidRDefault="004B6DBE" w:rsidP="004B6DBE">
            <w:pPr>
              <w:pStyle w:val="NoSpacing"/>
              <w:rPr>
                <w:rFonts w:ascii="Arial Narrow" w:hAnsi="Arial Narrow"/>
                <w:sz w:val="20"/>
                <w:szCs w:val="20"/>
              </w:rPr>
            </w:pPr>
            <w:r w:rsidRPr="004B6DBE">
              <w:rPr>
                <w:rFonts w:ascii="Arial Narrow" w:hAnsi="Arial Narrow"/>
                <w:sz w:val="20"/>
                <w:szCs w:val="20"/>
              </w:rPr>
              <w:t>1 = Former</w:t>
            </w:r>
          </w:p>
          <w:p w14:paraId="2BDBAAA7" w14:textId="51B4AE76" w:rsidR="005C2B99" w:rsidRPr="002A5428" w:rsidRDefault="004B6DBE" w:rsidP="004B6DBE">
            <w:pPr>
              <w:pStyle w:val="NoSpacing"/>
              <w:rPr>
                <w:rFonts w:ascii="Arial Narrow" w:hAnsi="Arial Narrow"/>
                <w:sz w:val="20"/>
                <w:szCs w:val="20"/>
              </w:rPr>
            </w:pPr>
            <w:r w:rsidRPr="004B6DBE">
              <w:rPr>
                <w:rFonts w:ascii="Arial Narrow" w:hAnsi="Arial Narrow"/>
                <w:sz w:val="20"/>
                <w:szCs w:val="20"/>
              </w:rPr>
              <w:t>2 = Current</w:t>
            </w:r>
          </w:p>
        </w:tc>
      </w:tr>
      <w:tr w:rsidR="005C2B99" w:rsidRPr="004A3E41" w14:paraId="104668A1" w14:textId="77777777" w:rsidTr="0011132D">
        <w:trPr>
          <w:trHeight w:val="54"/>
        </w:trPr>
        <w:tc>
          <w:tcPr>
            <w:tcW w:w="2160" w:type="dxa"/>
          </w:tcPr>
          <w:p w14:paraId="23174953" w14:textId="6C489E46" w:rsidR="005C2B99" w:rsidRDefault="005C2B99" w:rsidP="0011132D">
            <w:pPr>
              <w:pStyle w:val="NoSpacing"/>
              <w:rPr>
                <w:rFonts w:ascii="Arial Narrow" w:hAnsi="Arial Narrow"/>
                <w:sz w:val="20"/>
                <w:szCs w:val="20"/>
              </w:rPr>
            </w:pPr>
            <w:r>
              <w:rPr>
                <w:rFonts w:ascii="Arial Narrow" w:hAnsi="Arial Narrow"/>
                <w:sz w:val="20"/>
                <w:szCs w:val="20"/>
              </w:rPr>
              <w:t>Alcohol12m</w:t>
            </w:r>
          </w:p>
        </w:tc>
        <w:tc>
          <w:tcPr>
            <w:tcW w:w="3600" w:type="dxa"/>
          </w:tcPr>
          <w:p w14:paraId="2DEB8D4C" w14:textId="77777777" w:rsidR="005C2B99" w:rsidRDefault="006A5F9C" w:rsidP="0011132D">
            <w:pPr>
              <w:pStyle w:val="NoSpacing"/>
              <w:rPr>
                <w:rFonts w:ascii="Arial Narrow" w:hAnsi="Arial Narrow"/>
                <w:sz w:val="20"/>
                <w:szCs w:val="20"/>
              </w:rPr>
            </w:pPr>
            <w:r>
              <w:rPr>
                <w:rFonts w:ascii="Arial Narrow" w:hAnsi="Arial Narrow"/>
                <w:sz w:val="20"/>
                <w:szCs w:val="20"/>
              </w:rPr>
              <w:t>Alcohol use</w:t>
            </w:r>
          </w:p>
          <w:p w14:paraId="32CE796B" w14:textId="3614C7FA" w:rsidR="006A5F9C" w:rsidRDefault="006A5F9C" w:rsidP="0011132D">
            <w:pPr>
              <w:pStyle w:val="NoSpacing"/>
              <w:rPr>
                <w:rFonts w:ascii="Arial Narrow" w:hAnsi="Arial Narrow"/>
                <w:sz w:val="20"/>
                <w:szCs w:val="20"/>
              </w:rPr>
            </w:pPr>
          </w:p>
          <w:p w14:paraId="4F64C52D" w14:textId="215F5E01" w:rsidR="006A5F9C" w:rsidRDefault="006A5F9C" w:rsidP="0011132D">
            <w:pPr>
              <w:pStyle w:val="NoSpacing"/>
              <w:rPr>
                <w:rFonts w:ascii="Arial Narrow" w:hAnsi="Arial Narrow"/>
                <w:sz w:val="20"/>
                <w:szCs w:val="20"/>
              </w:rPr>
            </w:pPr>
            <w:r>
              <w:rPr>
                <w:rFonts w:ascii="Arial Narrow" w:hAnsi="Arial Narrow"/>
                <w:sz w:val="20"/>
                <w:szCs w:val="20"/>
              </w:rPr>
              <w:t>Ascertain</w:t>
            </w:r>
            <w:r w:rsidR="000F16A4">
              <w:rPr>
                <w:rFonts w:ascii="Arial Narrow" w:hAnsi="Arial Narrow"/>
                <w:sz w:val="20"/>
                <w:szCs w:val="20"/>
              </w:rPr>
              <w:t>ed by the question “</w:t>
            </w:r>
            <w:r w:rsidR="000F16A4" w:rsidRPr="000F16A4">
              <w:rPr>
                <w:rFonts w:ascii="Arial Narrow" w:hAnsi="Arial Narrow"/>
                <w:sz w:val="20"/>
                <w:szCs w:val="20"/>
              </w:rPr>
              <w:t>During the past 12 months, about how often did you drink any type of alcoholic beverage?</w:t>
            </w:r>
            <w:r w:rsidR="000F16A4">
              <w:rPr>
                <w:rFonts w:ascii="Arial Narrow" w:hAnsi="Arial Narrow"/>
                <w:sz w:val="20"/>
                <w:szCs w:val="20"/>
              </w:rPr>
              <w:t>”</w:t>
            </w:r>
          </w:p>
        </w:tc>
        <w:tc>
          <w:tcPr>
            <w:tcW w:w="3600" w:type="dxa"/>
          </w:tcPr>
          <w:p w14:paraId="4B2BB484" w14:textId="07BE87F0" w:rsidR="00E84A9A" w:rsidRPr="00E84A9A" w:rsidRDefault="00E84A9A" w:rsidP="00E84A9A">
            <w:pPr>
              <w:pStyle w:val="NoSpacing"/>
              <w:rPr>
                <w:rFonts w:ascii="Arial Narrow" w:hAnsi="Arial Narrow"/>
                <w:sz w:val="20"/>
                <w:szCs w:val="20"/>
              </w:rPr>
            </w:pPr>
            <w:r w:rsidRPr="00E84A9A">
              <w:rPr>
                <w:rFonts w:ascii="Arial Narrow" w:hAnsi="Arial Narrow"/>
                <w:sz w:val="20"/>
                <w:szCs w:val="20"/>
              </w:rPr>
              <w:t>A</w:t>
            </w:r>
            <w:r>
              <w:rPr>
                <w:rFonts w:ascii="Arial Narrow" w:hAnsi="Arial Narrow"/>
                <w:sz w:val="20"/>
                <w:szCs w:val="20"/>
              </w:rPr>
              <w:t xml:space="preserve">n ordinal </w:t>
            </w:r>
            <w:r w:rsidRPr="00E84A9A">
              <w:rPr>
                <w:rFonts w:ascii="Arial Narrow" w:hAnsi="Arial Narrow"/>
                <w:sz w:val="20"/>
                <w:szCs w:val="20"/>
              </w:rPr>
              <w:t>variable where</w:t>
            </w:r>
          </w:p>
          <w:p w14:paraId="66B8FF59" w14:textId="77777777" w:rsidR="00E84A9A" w:rsidRPr="00E84A9A" w:rsidRDefault="00E84A9A" w:rsidP="00E84A9A">
            <w:pPr>
              <w:pStyle w:val="NoSpacing"/>
              <w:rPr>
                <w:rFonts w:ascii="Arial Narrow" w:hAnsi="Arial Narrow"/>
                <w:sz w:val="20"/>
                <w:szCs w:val="20"/>
              </w:rPr>
            </w:pPr>
            <w:r w:rsidRPr="00E84A9A">
              <w:rPr>
                <w:rFonts w:ascii="Arial Narrow" w:hAnsi="Arial Narrow"/>
                <w:sz w:val="20"/>
                <w:szCs w:val="20"/>
              </w:rPr>
              <w:t>0 = None</w:t>
            </w:r>
          </w:p>
          <w:p w14:paraId="6228D98A" w14:textId="77777777" w:rsidR="00E84A9A" w:rsidRPr="00E84A9A" w:rsidRDefault="00E84A9A" w:rsidP="00E84A9A">
            <w:pPr>
              <w:pStyle w:val="NoSpacing"/>
              <w:rPr>
                <w:rFonts w:ascii="Arial Narrow" w:hAnsi="Arial Narrow"/>
                <w:sz w:val="20"/>
                <w:szCs w:val="20"/>
              </w:rPr>
            </w:pPr>
            <w:r w:rsidRPr="00E84A9A">
              <w:rPr>
                <w:rFonts w:ascii="Arial Narrow" w:hAnsi="Arial Narrow"/>
                <w:sz w:val="20"/>
                <w:szCs w:val="20"/>
              </w:rPr>
              <w:t>1 = A few times</w:t>
            </w:r>
          </w:p>
          <w:p w14:paraId="542E65AA" w14:textId="77777777" w:rsidR="00E84A9A" w:rsidRPr="00E84A9A" w:rsidRDefault="00E84A9A" w:rsidP="00E84A9A">
            <w:pPr>
              <w:pStyle w:val="NoSpacing"/>
              <w:rPr>
                <w:rFonts w:ascii="Arial Narrow" w:hAnsi="Arial Narrow"/>
                <w:sz w:val="20"/>
                <w:szCs w:val="20"/>
              </w:rPr>
            </w:pPr>
            <w:r w:rsidRPr="00E84A9A">
              <w:rPr>
                <w:rFonts w:ascii="Arial Narrow" w:hAnsi="Arial Narrow"/>
                <w:sz w:val="20"/>
                <w:szCs w:val="20"/>
              </w:rPr>
              <w:t>2 = Monthly</w:t>
            </w:r>
          </w:p>
          <w:p w14:paraId="67ED28E3" w14:textId="12FEFF21" w:rsidR="005C2B99" w:rsidRPr="002A5428" w:rsidRDefault="00E84A9A" w:rsidP="00E84A9A">
            <w:pPr>
              <w:pStyle w:val="NoSpacing"/>
              <w:rPr>
                <w:rFonts w:ascii="Arial Narrow" w:hAnsi="Arial Narrow"/>
                <w:sz w:val="20"/>
                <w:szCs w:val="20"/>
              </w:rPr>
            </w:pPr>
            <w:r w:rsidRPr="00E84A9A">
              <w:rPr>
                <w:rFonts w:ascii="Arial Narrow" w:hAnsi="Arial Narrow"/>
                <w:sz w:val="20"/>
                <w:szCs w:val="20"/>
              </w:rPr>
              <w:t>3 = Weekly</w:t>
            </w:r>
          </w:p>
        </w:tc>
      </w:tr>
      <w:tr w:rsidR="0002323F" w:rsidRPr="004A3E41" w14:paraId="3EF7A780" w14:textId="77777777" w:rsidTr="0011132D">
        <w:trPr>
          <w:trHeight w:val="54"/>
        </w:trPr>
        <w:tc>
          <w:tcPr>
            <w:tcW w:w="2160" w:type="dxa"/>
          </w:tcPr>
          <w:p w14:paraId="2C7C97B1" w14:textId="4A3DD9F9" w:rsidR="0002323F" w:rsidRDefault="00835D70" w:rsidP="0011132D">
            <w:pPr>
              <w:pStyle w:val="NoSpacing"/>
              <w:rPr>
                <w:rFonts w:ascii="Arial Narrow" w:hAnsi="Arial Narrow"/>
                <w:sz w:val="20"/>
                <w:szCs w:val="20"/>
              </w:rPr>
            </w:pPr>
            <w:r>
              <w:rPr>
                <w:rFonts w:ascii="Arial Narrow" w:hAnsi="Arial Narrow"/>
                <w:sz w:val="20"/>
                <w:szCs w:val="20"/>
              </w:rPr>
              <w:t>SBP</w:t>
            </w:r>
          </w:p>
        </w:tc>
        <w:tc>
          <w:tcPr>
            <w:tcW w:w="3600" w:type="dxa"/>
          </w:tcPr>
          <w:p w14:paraId="27D8BA6C" w14:textId="77777777" w:rsidR="000F16A4" w:rsidRDefault="00835D70" w:rsidP="00835D70">
            <w:pPr>
              <w:pStyle w:val="NoSpacing"/>
              <w:rPr>
                <w:rFonts w:ascii="Arial Narrow" w:hAnsi="Arial Narrow"/>
                <w:sz w:val="20"/>
                <w:szCs w:val="20"/>
              </w:rPr>
            </w:pPr>
            <w:r w:rsidRPr="00835D70">
              <w:rPr>
                <w:rFonts w:ascii="Arial Narrow" w:hAnsi="Arial Narrow"/>
                <w:sz w:val="20"/>
                <w:szCs w:val="20"/>
              </w:rPr>
              <w:t>Systolic</w:t>
            </w:r>
            <w:r>
              <w:rPr>
                <w:rFonts w:ascii="Arial Narrow" w:hAnsi="Arial Narrow"/>
                <w:sz w:val="20"/>
                <w:szCs w:val="20"/>
              </w:rPr>
              <w:t xml:space="preserve"> b</w:t>
            </w:r>
            <w:r w:rsidRPr="00835D70">
              <w:rPr>
                <w:rFonts w:ascii="Arial Narrow" w:hAnsi="Arial Narrow"/>
                <w:sz w:val="20"/>
                <w:szCs w:val="20"/>
              </w:rPr>
              <w:t>lood pressure (mm Hg</w:t>
            </w:r>
            <w:r>
              <w:rPr>
                <w:rFonts w:ascii="Arial Narrow" w:hAnsi="Arial Narrow"/>
                <w:sz w:val="20"/>
                <w:szCs w:val="20"/>
              </w:rPr>
              <w:t>)</w:t>
            </w:r>
          </w:p>
          <w:p w14:paraId="5190FA8D" w14:textId="77777777" w:rsidR="000F16A4" w:rsidRDefault="000F16A4" w:rsidP="00835D70">
            <w:pPr>
              <w:pStyle w:val="NoSpacing"/>
              <w:rPr>
                <w:rFonts w:ascii="Arial Narrow" w:hAnsi="Arial Narrow"/>
                <w:sz w:val="20"/>
                <w:szCs w:val="20"/>
              </w:rPr>
            </w:pPr>
          </w:p>
          <w:p w14:paraId="7A8B7D21" w14:textId="4395071E" w:rsidR="00835D70" w:rsidRDefault="000F16A4" w:rsidP="00835D70">
            <w:pPr>
              <w:pStyle w:val="NoSpacing"/>
              <w:rPr>
                <w:rFonts w:ascii="Arial Narrow" w:hAnsi="Arial Narrow"/>
                <w:sz w:val="20"/>
                <w:szCs w:val="20"/>
              </w:rPr>
            </w:pPr>
            <w:r>
              <w:rPr>
                <w:rFonts w:ascii="Arial Narrow" w:hAnsi="Arial Narrow"/>
                <w:sz w:val="20"/>
                <w:szCs w:val="20"/>
              </w:rPr>
              <w:t>C</w:t>
            </w:r>
            <w:r w:rsidR="00835D70">
              <w:rPr>
                <w:rFonts w:ascii="Arial Narrow" w:hAnsi="Arial Narrow"/>
                <w:sz w:val="20"/>
                <w:szCs w:val="20"/>
              </w:rPr>
              <w:t>omputed as the average of 4 readings.</w:t>
            </w:r>
          </w:p>
          <w:p w14:paraId="4BC4AB41" w14:textId="77777777" w:rsidR="00835D70" w:rsidRDefault="00835D70" w:rsidP="00835D70">
            <w:pPr>
              <w:pStyle w:val="NoSpacing"/>
              <w:rPr>
                <w:rFonts w:ascii="Arial Narrow" w:hAnsi="Arial Narrow"/>
                <w:sz w:val="20"/>
                <w:szCs w:val="20"/>
              </w:rPr>
            </w:pPr>
          </w:p>
          <w:p w14:paraId="42D4202A" w14:textId="49664D20" w:rsidR="0002323F" w:rsidRDefault="00835D70" w:rsidP="005C3370">
            <w:pPr>
              <w:pStyle w:val="NoSpacing"/>
              <w:rPr>
                <w:rFonts w:ascii="Arial Narrow" w:hAnsi="Arial Narrow"/>
                <w:sz w:val="20"/>
                <w:szCs w:val="20"/>
              </w:rPr>
            </w:pPr>
            <w:r>
              <w:rPr>
                <w:rFonts w:ascii="Arial Narrow" w:hAnsi="Arial Narrow"/>
                <w:sz w:val="20"/>
                <w:szCs w:val="20"/>
              </w:rPr>
              <w:t>A valid range is  70</w:t>
            </w:r>
            <w:r w:rsidR="005C3370">
              <w:rPr>
                <w:rFonts w:ascii="Arial Narrow" w:hAnsi="Arial Narrow"/>
                <w:sz w:val="20"/>
                <w:szCs w:val="20"/>
              </w:rPr>
              <w:t xml:space="preserve"> ≤ SBP &lt; 180</w:t>
            </w:r>
          </w:p>
        </w:tc>
        <w:tc>
          <w:tcPr>
            <w:tcW w:w="3600" w:type="dxa"/>
          </w:tcPr>
          <w:p w14:paraId="5EE2D44E" w14:textId="4259DDC5" w:rsidR="0002323F" w:rsidRPr="002A5428" w:rsidRDefault="003B7944" w:rsidP="0011132D">
            <w:pPr>
              <w:pStyle w:val="NoSpacing"/>
              <w:rPr>
                <w:rFonts w:ascii="Arial Narrow" w:hAnsi="Arial Narrow"/>
                <w:sz w:val="20"/>
                <w:szCs w:val="20"/>
              </w:rPr>
            </w:pPr>
            <w:r>
              <w:rPr>
                <w:rFonts w:ascii="Arial Narrow" w:eastAsia="Calibri" w:hAnsi="Arial Narrow" w:cs="Times New Roman"/>
                <w:sz w:val="20"/>
                <w:szCs w:val="20"/>
              </w:rPr>
              <w:t>A continuous variable with values ranging from 78.67 to 203.33</w:t>
            </w:r>
          </w:p>
        </w:tc>
      </w:tr>
      <w:tr w:rsidR="00835D70" w:rsidRPr="004A3E41" w14:paraId="66EEB10C" w14:textId="77777777" w:rsidTr="0011132D">
        <w:trPr>
          <w:trHeight w:val="54"/>
        </w:trPr>
        <w:tc>
          <w:tcPr>
            <w:tcW w:w="2160" w:type="dxa"/>
          </w:tcPr>
          <w:p w14:paraId="5D3B57F8" w14:textId="6E24A1CA" w:rsidR="00835D70" w:rsidRDefault="00835D70" w:rsidP="00835D70">
            <w:pPr>
              <w:pStyle w:val="NoSpacing"/>
              <w:rPr>
                <w:rFonts w:ascii="Arial Narrow" w:hAnsi="Arial Narrow"/>
                <w:sz w:val="20"/>
                <w:szCs w:val="20"/>
              </w:rPr>
            </w:pPr>
            <w:r>
              <w:rPr>
                <w:rFonts w:ascii="Arial Narrow" w:eastAsia="Calibri" w:hAnsi="Arial Narrow" w:cs="Times New Roman"/>
                <w:sz w:val="20"/>
                <w:szCs w:val="20"/>
              </w:rPr>
              <w:t>DBP</w:t>
            </w:r>
          </w:p>
        </w:tc>
        <w:tc>
          <w:tcPr>
            <w:tcW w:w="3600" w:type="dxa"/>
          </w:tcPr>
          <w:p w14:paraId="7C4186DA" w14:textId="4C4A6CED" w:rsidR="00835D70" w:rsidRDefault="000F16A4" w:rsidP="00835D70">
            <w:pPr>
              <w:pStyle w:val="NoSpacing"/>
              <w:rPr>
                <w:rFonts w:ascii="Arial Narrow" w:eastAsia="Calibri" w:hAnsi="Arial Narrow" w:cs="Times New Roman"/>
                <w:sz w:val="20"/>
                <w:szCs w:val="20"/>
              </w:rPr>
            </w:pPr>
            <w:r>
              <w:rPr>
                <w:rFonts w:ascii="Arial Narrow" w:eastAsia="Calibri" w:hAnsi="Arial Narrow" w:cs="Times New Roman"/>
                <w:sz w:val="20"/>
                <w:szCs w:val="20"/>
              </w:rPr>
              <w:t>Diastolic blood pressure</w:t>
            </w:r>
          </w:p>
          <w:p w14:paraId="5E41A7B9" w14:textId="17CC4611" w:rsidR="000F16A4" w:rsidRDefault="000F16A4" w:rsidP="00835D70">
            <w:pPr>
              <w:pStyle w:val="NoSpacing"/>
              <w:rPr>
                <w:rFonts w:ascii="Arial Narrow" w:eastAsia="Calibri" w:hAnsi="Arial Narrow" w:cs="Times New Roman"/>
                <w:sz w:val="20"/>
                <w:szCs w:val="20"/>
              </w:rPr>
            </w:pPr>
          </w:p>
          <w:p w14:paraId="6D626298" w14:textId="77777777" w:rsidR="000F16A4" w:rsidRDefault="000F16A4" w:rsidP="000F16A4">
            <w:pPr>
              <w:pStyle w:val="NoSpacing"/>
              <w:rPr>
                <w:rFonts w:ascii="Arial Narrow" w:hAnsi="Arial Narrow"/>
                <w:sz w:val="20"/>
                <w:szCs w:val="20"/>
              </w:rPr>
            </w:pPr>
            <w:r>
              <w:rPr>
                <w:rFonts w:ascii="Arial Narrow" w:hAnsi="Arial Narrow"/>
                <w:sz w:val="20"/>
                <w:szCs w:val="20"/>
              </w:rPr>
              <w:t>Computed as the average of 4 readings.</w:t>
            </w:r>
          </w:p>
          <w:p w14:paraId="12A8B632" w14:textId="77777777" w:rsidR="000F16A4" w:rsidRDefault="000F16A4" w:rsidP="00835D70">
            <w:pPr>
              <w:pStyle w:val="NoSpacing"/>
              <w:rPr>
                <w:rFonts w:ascii="Arial Narrow" w:eastAsia="Calibri" w:hAnsi="Arial Narrow" w:cs="Times New Roman"/>
                <w:sz w:val="20"/>
                <w:szCs w:val="20"/>
              </w:rPr>
            </w:pPr>
          </w:p>
          <w:p w14:paraId="48AAAB98" w14:textId="5DAC391E" w:rsidR="00835D70" w:rsidRDefault="00835D70" w:rsidP="005C3370">
            <w:pPr>
              <w:pStyle w:val="NoSpacing"/>
              <w:rPr>
                <w:rFonts w:ascii="Arial Narrow" w:hAnsi="Arial Narrow"/>
                <w:sz w:val="20"/>
                <w:szCs w:val="20"/>
              </w:rPr>
            </w:pPr>
            <w:r>
              <w:rPr>
                <w:rFonts w:ascii="Arial Narrow" w:eastAsia="Calibri" w:hAnsi="Arial Narrow" w:cs="Times New Roman"/>
                <w:sz w:val="20"/>
                <w:szCs w:val="20"/>
              </w:rPr>
              <w:t>A valid range is 40</w:t>
            </w:r>
            <w:r w:rsidR="005C3370">
              <w:rPr>
                <w:rFonts w:ascii="Arial Narrow" w:eastAsia="Calibri" w:hAnsi="Arial Narrow" w:cs="Times New Roman"/>
                <w:sz w:val="20"/>
                <w:szCs w:val="20"/>
              </w:rPr>
              <w:t xml:space="preserve"> ≤ DBP &lt; </w:t>
            </w:r>
            <w:r>
              <w:rPr>
                <w:rFonts w:ascii="Arial Narrow" w:eastAsia="Calibri" w:hAnsi="Arial Narrow" w:cs="Times New Roman"/>
                <w:sz w:val="20"/>
                <w:szCs w:val="20"/>
              </w:rPr>
              <w:t>120</w:t>
            </w:r>
          </w:p>
        </w:tc>
        <w:tc>
          <w:tcPr>
            <w:tcW w:w="3600" w:type="dxa"/>
          </w:tcPr>
          <w:p w14:paraId="5685D2A4" w14:textId="5D3748D3" w:rsidR="00835D70" w:rsidRPr="002A5428" w:rsidRDefault="007C54D7" w:rsidP="00835D70">
            <w:pPr>
              <w:pStyle w:val="NoSpacing"/>
              <w:rPr>
                <w:rFonts w:ascii="Arial Narrow" w:hAnsi="Arial Narrow"/>
                <w:sz w:val="20"/>
                <w:szCs w:val="20"/>
              </w:rPr>
            </w:pPr>
            <w:r>
              <w:rPr>
                <w:rFonts w:ascii="Arial Narrow" w:hAnsi="Arial Narrow"/>
                <w:sz w:val="20"/>
                <w:szCs w:val="20"/>
              </w:rPr>
              <w:t xml:space="preserve">A continuous variable </w:t>
            </w:r>
            <w:r w:rsidR="00AD60C1">
              <w:rPr>
                <w:rFonts w:ascii="Arial Narrow" w:hAnsi="Arial Narrow"/>
                <w:sz w:val="20"/>
                <w:szCs w:val="20"/>
              </w:rPr>
              <w:t>with values ranging from 0 to 104.67</w:t>
            </w:r>
          </w:p>
        </w:tc>
      </w:tr>
      <w:tr w:rsidR="0002323F" w:rsidRPr="004A3E41" w14:paraId="2CA9E658" w14:textId="77777777" w:rsidTr="0011132D">
        <w:trPr>
          <w:trHeight w:val="54"/>
        </w:trPr>
        <w:tc>
          <w:tcPr>
            <w:tcW w:w="2160" w:type="dxa"/>
          </w:tcPr>
          <w:p w14:paraId="780EE2C9" w14:textId="5DBE9E62" w:rsidR="0002323F" w:rsidRDefault="007F3A02" w:rsidP="0011132D">
            <w:pPr>
              <w:pStyle w:val="NoSpacing"/>
              <w:rPr>
                <w:rFonts w:ascii="Arial Narrow" w:hAnsi="Arial Narrow"/>
                <w:sz w:val="20"/>
                <w:szCs w:val="20"/>
              </w:rPr>
            </w:pPr>
            <w:r>
              <w:rPr>
                <w:rFonts w:ascii="Arial Narrow" w:hAnsi="Arial Narrow"/>
                <w:sz w:val="20"/>
                <w:szCs w:val="20"/>
              </w:rPr>
              <w:t>ACR</w:t>
            </w:r>
          </w:p>
        </w:tc>
        <w:tc>
          <w:tcPr>
            <w:tcW w:w="3600" w:type="dxa"/>
          </w:tcPr>
          <w:p w14:paraId="5DBAD546" w14:textId="67C3CF0D" w:rsidR="0002323F" w:rsidRDefault="007F3A02" w:rsidP="007F3A02">
            <w:pPr>
              <w:pStyle w:val="NoSpacing"/>
              <w:rPr>
                <w:rFonts w:ascii="Arial Narrow" w:hAnsi="Arial Narrow"/>
                <w:sz w:val="20"/>
                <w:szCs w:val="20"/>
              </w:rPr>
            </w:pPr>
            <w:r>
              <w:rPr>
                <w:rFonts w:ascii="Arial Narrow" w:hAnsi="Arial Narrow"/>
                <w:sz w:val="20"/>
                <w:szCs w:val="20"/>
              </w:rPr>
              <w:t>Urinary albumin to creati</w:t>
            </w:r>
            <w:r w:rsidR="000F16A4">
              <w:rPr>
                <w:rFonts w:ascii="Arial Narrow" w:hAnsi="Arial Narrow"/>
                <w:sz w:val="20"/>
                <w:szCs w:val="20"/>
              </w:rPr>
              <w:t>nine ratio</w:t>
            </w:r>
            <w:r>
              <w:rPr>
                <w:rFonts w:ascii="Arial Narrow" w:hAnsi="Arial Narrow"/>
                <w:sz w:val="20"/>
                <w:szCs w:val="20"/>
              </w:rPr>
              <w:t xml:space="preserve"> (mg/g)</w:t>
            </w:r>
          </w:p>
          <w:p w14:paraId="601CAACF" w14:textId="77777777" w:rsidR="007F3A02" w:rsidRDefault="007F3A02" w:rsidP="007F3A02">
            <w:pPr>
              <w:pStyle w:val="NoSpacing"/>
              <w:rPr>
                <w:rFonts w:ascii="Arial Narrow" w:hAnsi="Arial Narrow"/>
                <w:sz w:val="20"/>
                <w:szCs w:val="20"/>
              </w:rPr>
            </w:pPr>
          </w:p>
          <w:p w14:paraId="6E1F2164" w14:textId="4E322BB6" w:rsidR="007F3A02" w:rsidRDefault="007F3A02" w:rsidP="005C3370">
            <w:pPr>
              <w:pStyle w:val="NoSpacing"/>
              <w:rPr>
                <w:rFonts w:ascii="Arial Narrow" w:hAnsi="Arial Narrow"/>
                <w:sz w:val="20"/>
                <w:szCs w:val="20"/>
              </w:rPr>
            </w:pPr>
            <w:r>
              <w:rPr>
                <w:rFonts w:ascii="Arial Narrow" w:hAnsi="Arial Narrow"/>
                <w:sz w:val="20"/>
                <w:szCs w:val="20"/>
              </w:rPr>
              <w:t>A valid range is 0</w:t>
            </w:r>
            <w:r w:rsidR="005C3370">
              <w:rPr>
                <w:rFonts w:ascii="Arial Narrow" w:hAnsi="Arial Narrow"/>
                <w:sz w:val="20"/>
                <w:szCs w:val="20"/>
              </w:rPr>
              <w:t xml:space="preserve"> ≤ ACR &lt;</w:t>
            </w:r>
            <w:r>
              <w:rPr>
                <w:rFonts w:ascii="Arial Narrow" w:hAnsi="Arial Narrow"/>
                <w:sz w:val="20"/>
                <w:szCs w:val="20"/>
              </w:rPr>
              <w:t xml:space="preserve"> 6000</w:t>
            </w:r>
          </w:p>
        </w:tc>
        <w:tc>
          <w:tcPr>
            <w:tcW w:w="3600" w:type="dxa"/>
          </w:tcPr>
          <w:p w14:paraId="3B50FA94" w14:textId="3CF83DC0" w:rsidR="0002323F" w:rsidRPr="002A5428" w:rsidRDefault="00EA3B44" w:rsidP="0011132D">
            <w:pPr>
              <w:pStyle w:val="NoSpacing"/>
              <w:rPr>
                <w:rFonts w:ascii="Arial Narrow" w:hAnsi="Arial Narrow"/>
                <w:sz w:val="20"/>
                <w:szCs w:val="20"/>
              </w:rPr>
            </w:pPr>
            <w:r>
              <w:rPr>
                <w:rFonts w:ascii="Arial Narrow" w:eastAsia="Calibri" w:hAnsi="Arial Narrow" w:cs="Times New Roman"/>
                <w:sz w:val="20"/>
                <w:szCs w:val="20"/>
              </w:rPr>
              <w:t>A continuous variable with values ranging from 0.54 to 11055.12</w:t>
            </w:r>
          </w:p>
        </w:tc>
      </w:tr>
      <w:tr w:rsidR="0002323F" w:rsidRPr="004A3E41" w14:paraId="481342D0" w14:textId="77777777" w:rsidTr="0011132D">
        <w:trPr>
          <w:trHeight w:val="54"/>
        </w:trPr>
        <w:tc>
          <w:tcPr>
            <w:tcW w:w="2160" w:type="dxa"/>
          </w:tcPr>
          <w:p w14:paraId="5E163CA2" w14:textId="021119A0" w:rsidR="0002323F" w:rsidRDefault="005C3370" w:rsidP="0011132D">
            <w:pPr>
              <w:pStyle w:val="NoSpacing"/>
              <w:rPr>
                <w:rFonts w:ascii="Arial Narrow" w:hAnsi="Arial Narrow"/>
                <w:sz w:val="20"/>
                <w:szCs w:val="20"/>
              </w:rPr>
            </w:pPr>
            <w:r>
              <w:rPr>
                <w:rFonts w:ascii="Arial Narrow" w:hAnsi="Arial Narrow"/>
                <w:sz w:val="20"/>
                <w:szCs w:val="20"/>
              </w:rPr>
              <w:t>A1C</w:t>
            </w:r>
          </w:p>
        </w:tc>
        <w:tc>
          <w:tcPr>
            <w:tcW w:w="3600" w:type="dxa"/>
          </w:tcPr>
          <w:p w14:paraId="6B7F5CF5" w14:textId="77777777" w:rsidR="0002323F" w:rsidRDefault="005C3370" w:rsidP="0011132D">
            <w:pPr>
              <w:pStyle w:val="NoSpacing"/>
              <w:rPr>
                <w:rFonts w:ascii="Arial Narrow" w:eastAsia="Calibri" w:hAnsi="Arial Narrow" w:cs="Times New Roman"/>
                <w:sz w:val="20"/>
                <w:szCs w:val="20"/>
              </w:rPr>
            </w:pPr>
            <w:r w:rsidRPr="00D3048F">
              <w:rPr>
                <w:rFonts w:ascii="Arial Narrow" w:eastAsia="Calibri" w:hAnsi="Arial Narrow" w:cs="Times New Roman"/>
                <w:sz w:val="20"/>
                <w:szCs w:val="20"/>
              </w:rPr>
              <w:t>Glycohemoglobin (%)</w:t>
            </w:r>
          </w:p>
          <w:p w14:paraId="6F649822" w14:textId="77777777" w:rsidR="005C3370" w:rsidRDefault="005C3370" w:rsidP="0011132D">
            <w:pPr>
              <w:pStyle w:val="NoSpacing"/>
              <w:rPr>
                <w:rFonts w:ascii="Arial Narrow" w:eastAsia="Calibri" w:hAnsi="Arial Narrow" w:cs="Times New Roman"/>
                <w:sz w:val="20"/>
                <w:szCs w:val="20"/>
              </w:rPr>
            </w:pPr>
          </w:p>
          <w:p w14:paraId="162102A6" w14:textId="07C3101B" w:rsidR="005C3370" w:rsidRDefault="005C3370" w:rsidP="0011132D">
            <w:pPr>
              <w:pStyle w:val="NoSpacing"/>
              <w:rPr>
                <w:rFonts w:ascii="Arial Narrow" w:hAnsi="Arial Narrow"/>
                <w:sz w:val="20"/>
                <w:szCs w:val="20"/>
              </w:rPr>
            </w:pPr>
            <w:r>
              <w:rPr>
                <w:rFonts w:ascii="Arial Narrow" w:eastAsia="Calibri" w:hAnsi="Arial Narrow" w:cs="Times New Roman"/>
                <w:sz w:val="20"/>
                <w:szCs w:val="20"/>
              </w:rPr>
              <w:t>A valid range is 4 ≤ A1C &lt; 11</w:t>
            </w:r>
          </w:p>
        </w:tc>
        <w:tc>
          <w:tcPr>
            <w:tcW w:w="3600" w:type="dxa"/>
          </w:tcPr>
          <w:p w14:paraId="0B6F4E15" w14:textId="6CB07699" w:rsidR="0002323F" w:rsidRPr="002A5428" w:rsidRDefault="00D645B3" w:rsidP="0011132D">
            <w:pPr>
              <w:pStyle w:val="NoSpacing"/>
              <w:rPr>
                <w:rFonts w:ascii="Arial Narrow" w:hAnsi="Arial Narrow"/>
                <w:sz w:val="20"/>
                <w:szCs w:val="20"/>
              </w:rPr>
            </w:pPr>
            <w:r>
              <w:rPr>
                <w:rFonts w:ascii="Arial Narrow" w:eastAsia="Calibri" w:hAnsi="Arial Narrow" w:cs="Times New Roman"/>
                <w:sz w:val="20"/>
                <w:szCs w:val="20"/>
              </w:rPr>
              <w:t>A continuous variable with values ranging from 4.7 to 16.2</w:t>
            </w:r>
          </w:p>
        </w:tc>
      </w:tr>
      <w:tr w:rsidR="0002323F" w:rsidRPr="004A3E41" w14:paraId="1EC5041A" w14:textId="77777777" w:rsidTr="0011132D">
        <w:trPr>
          <w:trHeight w:val="54"/>
        </w:trPr>
        <w:tc>
          <w:tcPr>
            <w:tcW w:w="2160" w:type="dxa"/>
          </w:tcPr>
          <w:p w14:paraId="36845799" w14:textId="2EF197E7" w:rsidR="0002323F" w:rsidRDefault="00C95AE1" w:rsidP="0011132D">
            <w:pPr>
              <w:pStyle w:val="NoSpacing"/>
              <w:rPr>
                <w:rFonts w:ascii="Arial Narrow" w:hAnsi="Arial Narrow"/>
                <w:sz w:val="20"/>
                <w:szCs w:val="20"/>
              </w:rPr>
            </w:pPr>
            <w:r>
              <w:rPr>
                <w:rFonts w:ascii="Arial Narrow" w:hAnsi="Arial Narrow"/>
                <w:sz w:val="20"/>
                <w:szCs w:val="20"/>
              </w:rPr>
              <w:t>DM</w:t>
            </w:r>
          </w:p>
        </w:tc>
        <w:tc>
          <w:tcPr>
            <w:tcW w:w="3600" w:type="dxa"/>
          </w:tcPr>
          <w:p w14:paraId="3AB2FE26" w14:textId="6B0A74A0" w:rsidR="0002323F" w:rsidRDefault="00C95AE1" w:rsidP="0011132D">
            <w:pPr>
              <w:pStyle w:val="NoSpacing"/>
              <w:rPr>
                <w:rFonts w:ascii="Arial Narrow" w:hAnsi="Arial Narrow"/>
                <w:sz w:val="20"/>
                <w:szCs w:val="20"/>
              </w:rPr>
            </w:pPr>
            <w:r>
              <w:rPr>
                <w:rFonts w:ascii="Arial Narrow" w:hAnsi="Arial Narrow"/>
                <w:sz w:val="20"/>
                <w:szCs w:val="20"/>
              </w:rPr>
              <w:t>Diabetes status</w:t>
            </w:r>
          </w:p>
          <w:p w14:paraId="0B291E2E" w14:textId="43778E85" w:rsidR="00C95AE1" w:rsidRDefault="00C95AE1" w:rsidP="0011132D">
            <w:pPr>
              <w:pStyle w:val="NoSpacing"/>
              <w:rPr>
                <w:rFonts w:ascii="Arial Narrow" w:hAnsi="Arial Narrow"/>
                <w:sz w:val="20"/>
                <w:szCs w:val="20"/>
              </w:rPr>
            </w:pPr>
          </w:p>
          <w:p w14:paraId="5CA36CEA" w14:textId="762E711F" w:rsidR="00C95AE1" w:rsidRDefault="00C95AE1" w:rsidP="0011132D">
            <w:pPr>
              <w:pStyle w:val="NoSpacing"/>
              <w:rPr>
                <w:rFonts w:ascii="Arial Narrow" w:hAnsi="Arial Narrow"/>
                <w:sz w:val="20"/>
                <w:szCs w:val="20"/>
              </w:rPr>
            </w:pPr>
            <w:r>
              <w:rPr>
                <w:rFonts w:ascii="Arial Narrow" w:hAnsi="Arial Narrow"/>
                <w:sz w:val="20"/>
                <w:szCs w:val="20"/>
              </w:rPr>
              <w:t>Glucose control is defined as</w:t>
            </w:r>
          </w:p>
          <w:p w14:paraId="6EB69C95" w14:textId="5783BD47" w:rsidR="00C95AE1" w:rsidRDefault="00C95AE1" w:rsidP="0011132D">
            <w:pPr>
              <w:pStyle w:val="NoSpacing"/>
              <w:rPr>
                <w:rFonts w:ascii="Arial Narrow" w:hAnsi="Arial Narrow"/>
                <w:sz w:val="20"/>
                <w:szCs w:val="20"/>
              </w:rPr>
            </w:pPr>
            <w:r w:rsidRPr="00C95AE1">
              <w:rPr>
                <w:rFonts w:ascii="Arial Narrow" w:hAnsi="Arial Narrow"/>
                <w:sz w:val="20"/>
                <w:szCs w:val="20"/>
              </w:rPr>
              <w:t>no self-report of DM/preDM AND (FPR &lt; 100 or non-FPG &lt; 200) AND A1C &lt; 5.7 AND no DM medication</w:t>
            </w:r>
          </w:p>
          <w:p w14:paraId="4A66A36C" w14:textId="5E98555A" w:rsidR="00C95AE1" w:rsidRDefault="00C95AE1" w:rsidP="0011132D">
            <w:pPr>
              <w:pStyle w:val="NoSpacing"/>
              <w:rPr>
                <w:rFonts w:ascii="Arial Narrow" w:hAnsi="Arial Narrow"/>
                <w:sz w:val="20"/>
                <w:szCs w:val="20"/>
              </w:rPr>
            </w:pPr>
          </w:p>
          <w:p w14:paraId="150F45D9" w14:textId="0E7EBA90" w:rsidR="00C95AE1" w:rsidRDefault="00C95AE1" w:rsidP="0011132D">
            <w:pPr>
              <w:pStyle w:val="NoSpacing"/>
              <w:rPr>
                <w:rFonts w:ascii="Arial Narrow" w:hAnsi="Arial Narrow"/>
                <w:sz w:val="20"/>
                <w:szCs w:val="20"/>
              </w:rPr>
            </w:pPr>
            <w:r>
              <w:rPr>
                <w:rFonts w:ascii="Arial Narrow" w:hAnsi="Arial Narrow"/>
                <w:sz w:val="20"/>
                <w:szCs w:val="20"/>
              </w:rPr>
              <w:t>Prediabetes is defined as</w:t>
            </w:r>
          </w:p>
          <w:p w14:paraId="2EC7D1B3" w14:textId="1534DF15" w:rsidR="00C95AE1" w:rsidRDefault="00C95AE1" w:rsidP="0011132D">
            <w:pPr>
              <w:pStyle w:val="NoSpacing"/>
              <w:rPr>
                <w:rFonts w:ascii="Arial Narrow" w:eastAsia="Calibri" w:hAnsi="Arial Narrow" w:cs="Times New Roman"/>
                <w:sz w:val="20"/>
                <w:szCs w:val="20"/>
              </w:rPr>
            </w:pPr>
            <w:r>
              <w:rPr>
                <w:rFonts w:ascii="Arial Narrow" w:eastAsia="Calibri" w:hAnsi="Arial Narrow" w:cs="Times New Roman"/>
                <w:sz w:val="20"/>
                <w:szCs w:val="20"/>
              </w:rPr>
              <w:t>self-report prediabetes OR 100 ≤ FPG &lt; 126 OR 5.7 ≤ A1C &lt; 6.5</w:t>
            </w:r>
          </w:p>
          <w:p w14:paraId="285ED690" w14:textId="77777777" w:rsidR="00C95AE1" w:rsidRDefault="00C95AE1" w:rsidP="0011132D">
            <w:pPr>
              <w:pStyle w:val="NoSpacing"/>
              <w:rPr>
                <w:rFonts w:ascii="Arial Narrow" w:hAnsi="Arial Narrow"/>
                <w:sz w:val="20"/>
                <w:szCs w:val="20"/>
              </w:rPr>
            </w:pPr>
          </w:p>
          <w:p w14:paraId="79F813A5" w14:textId="77777777" w:rsidR="00C95AE1" w:rsidRDefault="00C95AE1" w:rsidP="0011132D">
            <w:pPr>
              <w:pStyle w:val="NoSpacing"/>
              <w:rPr>
                <w:rFonts w:ascii="Arial Narrow" w:hAnsi="Arial Narrow"/>
                <w:sz w:val="20"/>
                <w:szCs w:val="20"/>
              </w:rPr>
            </w:pPr>
            <w:r>
              <w:rPr>
                <w:rFonts w:ascii="Arial Narrow" w:hAnsi="Arial Narrow"/>
                <w:sz w:val="20"/>
                <w:szCs w:val="20"/>
              </w:rPr>
              <w:t xml:space="preserve">Diabetes is defined as </w:t>
            </w:r>
          </w:p>
          <w:p w14:paraId="0E214EF1" w14:textId="6F83B4DC" w:rsidR="00C95AE1" w:rsidRDefault="00C95AE1" w:rsidP="0011132D">
            <w:pPr>
              <w:pStyle w:val="NoSpacing"/>
              <w:rPr>
                <w:rFonts w:ascii="Arial Narrow" w:hAnsi="Arial Narrow"/>
                <w:sz w:val="20"/>
                <w:szCs w:val="20"/>
              </w:rPr>
            </w:pPr>
            <w:r w:rsidRPr="00C95AE1">
              <w:rPr>
                <w:rFonts w:ascii="Arial Narrow" w:hAnsi="Arial Narrow"/>
                <w:sz w:val="20"/>
                <w:szCs w:val="20"/>
              </w:rPr>
              <w:t>self-reported diabetes OR self-reported borderline diabetes OR FPG ≥ 126 mg/dL OR non-FPG &gt; 200 OR A1C ≥ 6.5% or diabetes medication</w:t>
            </w:r>
          </w:p>
        </w:tc>
        <w:tc>
          <w:tcPr>
            <w:tcW w:w="3600" w:type="dxa"/>
          </w:tcPr>
          <w:p w14:paraId="2B4887CC" w14:textId="41C4AB72" w:rsidR="00FF2ED1" w:rsidRDefault="00FF2ED1" w:rsidP="00FF2ED1">
            <w:pPr>
              <w:rPr>
                <w:rFonts w:ascii="Arial Narrow" w:eastAsia="Calibri" w:hAnsi="Arial Narrow" w:cs="Times New Roman"/>
                <w:sz w:val="20"/>
                <w:szCs w:val="20"/>
              </w:rPr>
            </w:pPr>
            <w:r>
              <w:rPr>
                <w:rFonts w:ascii="Arial Narrow" w:eastAsia="Calibri" w:hAnsi="Arial Narrow" w:cs="Times New Roman"/>
                <w:sz w:val="20"/>
                <w:szCs w:val="20"/>
              </w:rPr>
              <w:t>A</w:t>
            </w:r>
            <w:r w:rsidR="00A26469">
              <w:rPr>
                <w:rFonts w:ascii="Arial Narrow" w:eastAsia="Calibri" w:hAnsi="Arial Narrow" w:cs="Times New Roman"/>
                <w:sz w:val="20"/>
                <w:szCs w:val="20"/>
              </w:rPr>
              <w:t xml:space="preserve">n ordinal </w:t>
            </w:r>
            <w:r>
              <w:rPr>
                <w:rFonts w:ascii="Arial Narrow" w:eastAsia="Calibri" w:hAnsi="Arial Narrow" w:cs="Times New Roman"/>
                <w:sz w:val="20"/>
                <w:szCs w:val="20"/>
              </w:rPr>
              <w:t>variable where</w:t>
            </w:r>
          </w:p>
          <w:p w14:paraId="188E76CD" w14:textId="77777777" w:rsidR="00FF2ED1" w:rsidRDefault="00FF2ED1" w:rsidP="00FF2ED1">
            <w:pPr>
              <w:rPr>
                <w:rFonts w:ascii="Arial Narrow" w:eastAsia="Calibri" w:hAnsi="Arial Narrow" w:cs="Times New Roman"/>
                <w:sz w:val="20"/>
                <w:szCs w:val="20"/>
              </w:rPr>
            </w:pPr>
            <w:r>
              <w:rPr>
                <w:rFonts w:ascii="Arial Narrow" w:eastAsia="Calibri" w:hAnsi="Arial Narrow" w:cs="Times New Roman"/>
                <w:sz w:val="20"/>
                <w:szCs w:val="20"/>
              </w:rPr>
              <w:t>0 = GC/IND</w:t>
            </w:r>
          </w:p>
          <w:p w14:paraId="2C705A36" w14:textId="77777777" w:rsidR="00FF2ED1" w:rsidRDefault="00FF2ED1" w:rsidP="00FF2ED1">
            <w:pPr>
              <w:rPr>
                <w:rFonts w:ascii="Arial Narrow" w:eastAsia="Calibri" w:hAnsi="Arial Narrow" w:cs="Times New Roman"/>
                <w:sz w:val="20"/>
                <w:szCs w:val="20"/>
              </w:rPr>
            </w:pPr>
            <w:r>
              <w:rPr>
                <w:rFonts w:ascii="Arial Narrow" w:eastAsia="Calibri" w:hAnsi="Arial Narrow" w:cs="Times New Roman"/>
                <w:sz w:val="20"/>
                <w:szCs w:val="20"/>
              </w:rPr>
              <w:t>1 = preDM</w:t>
            </w:r>
          </w:p>
          <w:p w14:paraId="2EDE3C88" w14:textId="6D4184E2" w:rsidR="0002323F" w:rsidRPr="002A5428" w:rsidRDefault="00FF2ED1" w:rsidP="00FF2ED1">
            <w:pPr>
              <w:pStyle w:val="NoSpacing"/>
              <w:rPr>
                <w:rFonts w:ascii="Arial Narrow" w:hAnsi="Arial Narrow"/>
                <w:sz w:val="20"/>
                <w:szCs w:val="20"/>
              </w:rPr>
            </w:pPr>
            <w:r>
              <w:rPr>
                <w:rFonts w:ascii="Arial Narrow" w:eastAsia="Calibri" w:hAnsi="Arial Narrow" w:cs="Times New Roman"/>
                <w:sz w:val="20"/>
                <w:szCs w:val="20"/>
              </w:rPr>
              <w:t>2 = DM</w:t>
            </w:r>
          </w:p>
        </w:tc>
      </w:tr>
      <w:tr w:rsidR="0002323F" w:rsidRPr="004A3E41" w14:paraId="3E9FDB16" w14:textId="77777777" w:rsidTr="0011132D">
        <w:trPr>
          <w:trHeight w:val="54"/>
        </w:trPr>
        <w:tc>
          <w:tcPr>
            <w:tcW w:w="2160" w:type="dxa"/>
          </w:tcPr>
          <w:p w14:paraId="77343FDA" w14:textId="08963D95" w:rsidR="0002323F" w:rsidRDefault="00E36C76" w:rsidP="0011132D">
            <w:pPr>
              <w:pStyle w:val="NoSpacing"/>
              <w:rPr>
                <w:rFonts w:ascii="Arial Narrow" w:hAnsi="Arial Narrow"/>
                <w:sz w:val="20"/>
                <w:szCs w:val="20"/>
              </w:rPr>
            </w:pPr>
            <w:r>
              <w:rPr>
                <w:rFonts w:ascii="Arial Narrow" w:hAnsi="Arial Narrow"/>
                <w:sz w:val="20"/>
                <w:szCs w:val="20"/>
              </w:rPr>
              <w:t>Sleep</w:t>
            </w:r>
          </w:p>
        </w:tc>
        <w:tc>
          <w:tcPr>
            <w:tcW w:w="3600" w:type="dxa"/>
          </w:tcPr>
          <w:p w14:paraId="01798C58" w14:textId="77777777" w:rsidR="0002323F" w:rsidRDefault="00E36C76" w:rsidP="0011132D">
            <w:pPr>
              <w:pStyle w:val="NoSpacing"/>
              <w:rPr>
                <w:rFonts w:ascii="Arial Narrow" w:hAnsi="Arial Narrow"/>
                <w:sz w:val="20"/>
                <w:szCs w:val="20"/>
              </w:rPr>
            </w:pPr>
            <w:r>
              <w:rPr>
                <w:rFonts w:ascii="Arial Narrow" w:hAnsi="Arial Narrow"/>
                <w:sz w:val="20"/>
                <w:szCs w:val="20"/>
              </w:rPr>
              <w:t>Sleep (hours)</w:t>
            </w:r>
          </w:p>
          <w:p w14:paraId="2469C56F" w14:textId="77777777" w:rsidR="00E36C76" w:rsidRDefault="00E36C76" w:rsidP="0011132D">
            <w:pPr>
              <w:pStyle w:val="NoSpacing"/>
              <w:rPr>
                <w:rFonts w:ascii="Arial Narrow" w:hAnsi="Arial Narrow"/>
                <w:sz w:val="20"/>
                <w:szCs w:val="20"/>
              </w:rPr>
            </w:pPr>
          </w:p>
          <w:p w14:paraId="2A8272E7" w14:textId="1BA3E83D" w:rsidR="00E36C76" w:rsidRDefault="00E36C76" w:rsidP="0011132D">
            <w:pPr>
              <w:pStyle w:val="NoSpacing"/>
              <w:rPr>
                <w:rFonts w:ascii="Arial Narrow" w:hAnsi="Arial Narrow"/>
                <w:sz w:val="20"/>
                <w:szCs w:val="20"/>
              </w:rPr>
            </w:pPr>
            <w:r w:rsidRPr="00E36C76">
              <w:rPr>
                <w:rFonts w:ascii="Arial Narrow" w:hAnsi="Arial Narrow"/>
                <w:sz w:val="20"/>
                <w:szCs w:val="20"/>
              </w:rPr>
              <w:t>Number of hours usually sleep on weekdays or workdays</w:t>
            </w:r>
          </w:p>
        </w:tc>
        <w:tc>
          <w:tcPr>
            <w:tcW w:w="3600" w:type="dxa"/>
          </w:tcPr>
          <w:p w14:paraId="697EC030" w14:textId="12B121D2" w:rsidR="0002323F" w:rsidRPr="002A5428" w:rsidRDefault="00E74205" w:rsidP="0011132D">
            <w:pPr>
              <w:pStyle w:val="NoSpacing"/>
              <w:rPr>
                <w:rFonts w:ascii="Arial Narrow" w:hAnsi="Arial Narrow"/>
                <w:sz w:val="20"/>
                <w:szCs w:val="20"/>
              </w:rPr>
            </w:pPr>
            <w:r>
              <w:rPr>
                <w:rFonts w:ascii="Arial Narrow" w:eastAsia="Calibri" w:hAnsi="Arial Narrow" w:cs="Times New Roman"/>
                <w:sz w:val="20"/>
                <w:szCs w:val="20"/>
              </w:rPr>
              <w:t>A continuous variable with values ranging from 2 to 14</w:t>
            </w:r>
          </w:p>
        </w:tc>
      </w:tr>
      <w:tr w:rsidR="0002323F" w:rsidRPr="004A3E41" w14:paraId="5446A2CB" w14:textId="77777777" w:rsidTr="0011132D">
        <w:trPr>
          <w:trHeight w:val="54"/>
        </w:trPr>
        <w:tc>
          <w:tcPr>
            <w:tcW w:w="2160" w:type="dxa"/>
          </w:tcPr>
          <w:p w14:paraId="4AA530AA" w14:textId="77777777" w:rsidR="0002323F" w:rsidRDefault="00E36C76" w:rsidP="0011132D">
            <w:pPr>
              <w:pStyle w:val="NoSpacing"/>
              <w:rPr>
                <w:rFonts w:ascii="Arial Narrow" w:hAnsi="Arial Narrow"/>
                <w:sz w:val="20"/>
                <w:szCs w:val="20"/>
              </w:rPr>
            </w:pPr>
            <w:r>
              <w:rPr>
                <w:rFonts w:ascii="Arial Narrow" w:hAnsi="Arial Narrow"/>
                <w:sz w:val="20"/>
                <w:szCs w:val="20"/>
              </w:rPr>
              <w:t>PHQ9</w:t>
            </w:r>
          </w:p>
          <w:p w14:paraId="74EB1540" w14:textId="268D1C83" w:rsidR="00E36C76" w:rsidRDefault="00E36C76" w:rsidP="0011132D">
            <w:pPr>
              <w:pStyle w:val="NoSpacing"/>
              <w:rPr>
                <w:rFonts w:ascii="Arial Narrow" w:hAnsi="Arial Narrow"/>
                <w:sz w:val="20"/>
                <w:szCs w:val="20"/>
              </w:rPr>
            </w:pPr>
            <w:r>
              <w:rPr>
                <w:rFonts w:ascii="Arial Narrow" w:hAnsi="Arial Narrow"/>
                <w:sz w:val="20"/>
                <w:szCs w:val="20"/>
              </w:rPr>
              <w:t>PHQ5cat</w:t>
            </w:r>
          </w:p>
        </w:tc>
        <w:tc>
          <w:tcPr>
            <w:tcW w:w="3600" w:type="dxa"/>
          </w:tcPr>
          <w:p w14:paraId="0847DA2E" w14:textId="252A0A8C" w:rsidR="0002323F" w:rsidRDefault="00E36C76" w:rsidP="0011132D">
            <w:pPr>
              <w:pStyle w:val="NoSpacing"/>
              <w:rPr>
                <w:rFonts w:ascii="Arial Narrow" w:hAnsi="Arial Narrow"/>
                <w:sz w:val="20"/>
                <w:szCs w:val="20"/>
              </w:rPr>
            </w:pPr>
            <w:r>
              <w:rPr>
                <w:rFonts w:ascii="Arial Narrow" w:hAnsi="Arial Narrow"/>
                <w:sz w:val="20"/>
                <w:szCs w:val="20"/>
              </w:rPr>
              <w:t>Depression score</w:t>
            </w:r>
          </w:p>
          <w:p w14:paraId="0EBC26FB" w14:textId="77777777" w:rsidR="00E36C76" w:rsidRDefault="00E36C76" w:rsidP="0011132D">
            <w:pPr>
              <w:pStyle w:val="NoSpacing"/>
              <w:rPr>
                <w:rFonts w:ascii="Arial Narrow" w:hAnsi="Arial Narrow"/>
                <w:sz w:val="20"/>
                <w:szCs w:val="20"/>
              </w:rPr>
            </w:pPr>
          </w:p>
          <w:p w14:paraId="47D8ADC8" w14:textId="624F1EC0" w:rsidR="00E36C76" w:rsidRDefault="00E36C76" w:rsidP="0011132D">
            <w:pPr>
              <w:pStyle w:val="NoSpacing"/>
              <w:rPr>
                <w:rFonts w:ascii="Arial Narrow" w:hAnsi="Arial Narrow"/>
                <w:sz w:val="20"/>
                <w:szCs w:val="20"/>
              </w:rPr>
            </w:pPr>
            <w:r>
              <w:rPr>
                <w:rFonts w:ascii="Arial Narrow" w:hAnsi="Arial Narrow"/>
                <w:sz w:val="20"/>
                <w:szCs w:val="20"/>
              </w:rPr>
              <w:t>Derived from a 9-</w:t>
            </w:r>
            <w:r w:rsidRPr="00E36C76">
              <w:rPr>
                <w:rFonts w:ascii="Arial Narrow" w:hAnsi="Arial Narrow"/>
                <w:sz w:val="20"/>
                <w:szCs w:val="20"/>
              </w:rPr>
              <w:t>item instrument called the Patient Health Questionnaire (</w:t>
            </w:r>
            <w:r w:rsidR="00D94F8B">
              <w:rPr>
                <w:rFonts w:ascii="Arial Narrow" w:hAnsi="Arial Narrow"/>
                <w:sz w:val="20"/>
                <w:szCs w:val="20"/>
              </w:rPr>
              <w:t xml:space="preserve">PHQ) </w:t>
            </w:r>
            <w:r w:rsidRPr="00E36C76">
              <w:rPr>
                <w:rFonts w:ascii="Arial Narrow" w:hAnsi="Arial Narrow"/>
                <w:sz w:val="20"/>
                <w:szCs w:val="20"/>
              </w:rPr>
              <w:t>to determine the frequency of depression symptoms over the past 2 weeks.</w:t>
            </w:r>
            <w:r w:rsidR="00D94F8B">
              <w:rPr>
                <w:rFonts w:ascii="Arial Narrow" w:hAnsi="Arial Narrow"/>
                <w:sz w:val="20"/>
                <w:szCs w:val="20"/>
              </w:rPr>
              <w:t xml:space="preserve"> </w:t>
            </w:r>
          </w:p>
          <w:p w14:paraId="105B952D" w14:textId="2476A8A1" w:rsidR="00D94F8B" w:rsidRDefault="00D94F8B" w:rsidP="0011132D">
            <w:pPr>
              <w:pStyle w:val="NoSpacing"/>
              <w:rPr>
                <w:rFonts w:ascii="Arial Narrow" w:hAnsi="Arial Narrow"/>
                <w:sz w:val="20"/>
                <w:szCs w:val="20"/>
              </w:rPr>
            </w:pPr>
          </w:p>
          <w:p w14:paraId="799B2604" w14:textId="4E7E95CF" w:rsidR="00E36C76" w:rsidRDefault="00D94F8B" w:rsidP="0011132D">
            <w:pPr>
              <w:pStyle w:val="NoSpacing"/>
              <w:rPr>
                <w:rFonts w:ascii="Arial Narrow" w:hAnsi="Arial Narrow"/>
                <w:sz w:val="20"/>
                <w:szCs w:val="20"/>
              </w:rPr>
            </w:pPr>
            <w:r>
              <w:rPr>
                <w:rFonts w:ascii="Arial Narrow" w:hAnsi="Arial Narrow"/>
                <w:sz w:val="20"/>
                <w:szCs w:val="20"/>
              </w:rPr>
              <w:t>A valid range is 0 ≤ PHQ ≤27, where a higher score means more depression. PHQ score can be categorized into minimal (0-4), mild (5-9), moderate (10-14), moderately severe (15-19</w:t>
            </w:r>
            <w:r w:rsidR="007F13EE">
              <w:rPr>
                <w:rFonts w:ascii="Arial Narrow" w:hAnsi="Arial Narrow"/>
                <w:sz w:val="20"/>
                <w:szCs w:val="20"/>
              </w:rPr>
              <w:t>), and severe (20-27).</w:t>
            </w:r>
          </w:p>
        </w:tc>
        <w:tc>
          <w:tcPr>
            <w:tcW w:w="3600" w:type="dxa"/>
          </w:tcPr>
          <w:p w14:paraId="60CC293A" w14:textId="10620E90" w:rsidR="00E00AD1" w:rsidRDefault="00E00AD1" w:rsidP="00E00AD1">
            <w:pPr>
              <w:rPr>
                <w:rFonts w:ascii="Arial Narrow" w:eastAsia="Calibri" w:hAnsi="Arial Narrow" w:cs="Times New Roman"/>
                <w:sz w:val="20"/>
                <w:szCs w:val="20"/>
              </w:rPr>
            </w:pPr>
            <w:r>
              <w:rPr>
                <w:rFonts w:ascii="Arial Narrow" w:eastAsia="Calibri" w:hAnsi="Arial Narrow" w:cs="Times New Roman"/>
                <w:sz w:val="20"/>
                <w:szCs w:val="20"/>
              </w:rPr>
              <w:t xml:space="preserve">PHQ9 is a </w:t>
            </w:r>
            <w:r w:rsidR="004D1BD6">
              <w:rPr>
                <w:rFonts w:ascii="Arial Narrow" w:eastAsia="Calibri" w:hAnsi="Arial Narrow" w:cs="Times New Roman"/>
                <w:sz w:val="20"/>
                <w:szCs w:val="20"/>
              </w:rPr>
              <w:t>discrete</w:t>
            </w:r>
            <w:r>
              <w:rPr>
                <w:rFonts w:ascii="Arial Narrow" w:eastAsia="Calibri" w:hAnsi="Arial Narrow" w:cs="Times New Roman"/>
                <w:sz w:val="20"/>
                <w:szCs w:val="20"/>
              </w:rPr>
              <w:t xml:space="preserve"> variable with values ranging from 0 to 25.</w:t>
            </w:r>
          </w:p>
          <w:p w14:paraId="13568A23" w14:textId="77777777" w:rsidR="00E00AD1" w:rsidRDefault="00E00AD1" w:rsidP="00E00AD1">
            <w:pPr>
              <w:rPr>
                <w:rFonts w:ascii="Arial Narrow" w:eastAsia="Calibri" w:hAnsi="Arial Narrow" w:cs="Times New Roman"/>
                <w:sz w:val="20"/>
                <w:szCs w:val="20"/>
              </w:rPr>
            </w:pPr>
          </w:p>
          <w:p w14:paraId="79FE220D" w14:textId="0A973B0C" w:rsidR="00E00AD1" w:rsidRDefault="00E00AD1" w:rsidP="00E00AD1">
            <w:pPr>
              <w:rPr>
                <w:rFonts w:ascii="Arial Narrow" w:eastAsia="Calibri" w:hAnsi="Arial Narrow" w:cs="Times New Roman"/>
                <w:sz w:val="20"/>
                <w:szCs w:val="20"/>
              </w:rPr>
            </w:pPr>
            <w:r>
              <w:rPr>
                <w:rFonts w:ascii="Arial Narrow" w:eastAsia="Calibri" w:hAnsi="Arial Narrow" w:cs="Times New Roman"/>
                <w:sz w:val="20"/>
                <w:szCs w:val="20"/>
              </w:rPr>
              <w:t>PHQ5cat is a</w:t>
            </w:r>
            <w:r w:rsidR="004D1BD6">
              <w:rPr>
                <w:rFonts w:ascii="Arial Narrow" w:eastAsia="Calibri" w:hAnsi="Arial Narrow" w:cs="Times New Roman"/>
                <w:sz w:val="20"/>
                <w:szCs w:val="20"/>
              </w:rPr>
              <w:t xml:space="preserve">n ordinal </w:t>
            </w:r>
            <w:r>
              <w:rPr>
                <w:rFonts w:ascii="Arial Narrow" w:eastAsia="Calibri" w:hAnsi="Arial Narrow" w:cs="Times New Roman"/>
                <w:sz w:val="20"/>
                <w:szCs w:val="20"/>
              </w:rPr>
              <w:t>variable where</w:t>
            </w:r>
          </w:p>
          <w:p w14:paraId="256D358D" w14:textId="77777777" w:rsidR="00E00AD1" w:rsidRDefault="00E00AD1" w:rsidP="00E00AD1">
            <w:pPr>
              <w:rPr>
                <w:rFonts w:ascii="Arial Narrow" w:eastAsia="Calibri" w:hAnsi="Arial Narrow" w:cs="Times New Roman"/>
                <w:sz w:val="20"/>
                <w:szCs w:val="20"/>
              </w:rPr>
            </w:pPr>
            <w:r>
              <w:rPr>
                <w:rFonts w:ascii="Arial Narrow" w:eastAsia="Calibri" w:hAnsi="Arial Narrow" w:cs="Times New Roman"/>
                <w:sz w:val="20"/>
                <w:szCs w:val="20"/>
              </w:rPr>
              <w:t>0 = None-minimal (0-4)</w:t>
            </w:r>
          </w:p>
          <w:p w14:paraId="69AC1A31" w14:textId="77777777" w:rsidR="00E00AD1" w:rsidRDefault="00E00AD1" w:rsidP="00E00AD1">
            <w:pPr>
              <w:rPr>
                <w:rFonts w:ascii="Arial Narrow" w:eastAsia="Calibri" w:hAnsi="Arial Narrow" w:cs="Times New Roman"/>
                <w:sz w:val="20"/>
                <w:szCs w:val="20"/>
              </w:rPr>
            </w:pPr>
            <w:r>
              <w:rPr>
                <w:rFonts w:ascii="Arial Narrow" w:eastAsia="Calibri" w:hAnsi="Arial Narrow" w:cs="Times New Roman"/>
                <w:sz w:val="20"/>
                <w:szCs w:val="20"/>
              </w:rPr>
              <w:t>1 = Mild (5-9)</w:t>
            </w:r>
          </w:p>
          <w:p w14:paraId="0A75BDF1" w14:textId="77777777" w:rsidR="00E00AD1" w:rsidRDefault="00E00AD1" w:rsidP="00E00AD1">
            <w:pPr>
              <w:rPr>
                <w:rFonts w:ascii="Arial Narrow" w:eastAsia="Calibri" w:hAnsi="Arial Narrow" w:cs="Times New Roman"/>
                <w:sz w:val="20"/>
                <w:szCs w:val="20"/>
              </w:rPr>
            </w:pPr>
            <w:r>
              <w:rPr>
                <w:rFonts w:ascii="Arial Narrow" w:eastAsia="Calibri" w:hAnsi="Arial Narrow" w:cs="Times New Roman"/>
                <w:sz w:val="20"/>
                <w:szCs w:val="20"/>
              </w:rPr>
              <w:t>2 = Moderate (10-14)</w:t>
            </w:r>
          </w:p>
          <w:p w14:paraId="62048EDB" w14:textId="77777777" w:rsidR="00E00AD1" w:rsidRDefault="00E00AD1" w:rsidP="00E00AD1">
            <w:pPr>
              <w:rPr>
                <w:rFonts w:ascii="Arial Narrow" w:eastAsia="Calibri" w:hAnsi="Arial Narrow" w:cs="Times New Roman"/>
                <w:sz w:val="20"/>
                <w:szCs w:val="20"/>
              </w:rPr>
            </w:pPr>
            <w:r>
              <w:rPr>
                <w:rFonts w:ascii="Arial Narrow" w:eastAsia="Calibri" w:hAnsi="Arial Narrow" w:cs="Times New Roman"/>
                <w:sz w:val="20"/>
                <w:szCs w:val="20"/>
              </w:rPr>
              <w:t>3 = Mod Severe (15-18)</w:t>
            </w:r>
          </w:p>
          <w:p w14:paraId="500E6BB3" w14:textId="63E94C43" w:rsidR="0002323F" w:rsidRPr="002A5428" w:rsidRDefault="00E00AD1" w:rsidP="00E00AD1">
            <w:pPr>
              <w:pStyle w:val="NoSpacing"/>
              <w:rPr>
                <w:rFonts w:ascii="Arial Narrow" w:hAnsi="Arial Narrow"/>
                <w:sz w:val="20"/>
                <w:szCs w:val="20"/>
              </w:rPr>
            </w:pPr>
            <w:r>
              <w:rPr>
                <w:rFonts w:ascii="Arial Narrow" w:eastAsia="Calibri" w:hAnsi="Arial Narrow" w:cs="Times New Roman"/>
                <w:sz w:val="20"/>
                <w:szCs w:val="20"/>
              </w:rPr>
              <w:t>4 = Severe (21-25)</w:t>
            </w:r>
          </w:p>
        </w:tc>
      </w:tr>
    </w:tbl>
    <w:p w14:paraId="259A0A48" w14:textId="749A94C1" w:rsidR="000C5C76" w:rsidRPr="008A5413" w:rsidRDefault="000C5C76" w:rsidP="008A5413"/>
    <w:p w14:paraId="1B6E98B6" w14:textId="50792693" w:rsidR="00543C51" w:rsidRDefault="00A94BA4" w:rsidP="00526DA4">
      <w:pPr>
        <w:pStyle w:val="Heading1"/>
      </w:pPr>
      <w:r w:rsidRPr="00526DA4">
        <w:t>Statistical Analysis Plan</w:t>
      </w:r>
    </w:p>
    <w:p w14:paraId="3E7C1FEE" w14:textId="2148E99E" w:rsidR="006C0F46" w:rsidRPr="00E60874" w:rsidRDefault="006C0F46" w:rsidP="006C0F46">
      <w:pPr>
        <w:pStyle w:val="Heading3"/>
        <w:numPr>
          <w:ilvl w:val="0"/>
          <w:numId w:val="0"/>
        </w:numPr>
        <w:ind w:left="720" w:hanging="720"/>
      </w:pPr>
      <w:r w:rsidRPr="00E60874">
        <w:t>Exploratory Analyses</w:t>
      </w:r>
      <w:r>
        <w:t xml:space="preserve"> and CONSORT Numbers</w:t>
      </w:r>
    </w:p>
    <w:p w14:paraId="681AA28E" w14:textId="3DCB06FB" w:rsidR="006C0F46" w:rsidRPr="006C0F46" w:rsidRDefault="006C0F46" w:rsidP="006C0F46">
      <w:r>
        <w:t>We will describe an</w:t>
      </w:r>
      <w:r w:rsidR="00F80395">
        <w:t>y</w:t>
      </w:r>
      <w:r>
        <w:t xml:space="preserve"> oddities or unexpected aspects of the data. We will apply our </w:t>
      </w:r>
      <w:r w:rsidRPr="006C0F46">
        <w:t>inclusion/exclusion criteria outlined above and describe how our analytic sample was obtained.</w:t>
      </w:r>
    </w:p>
    <w:p w14:paraId="6259F86F" w14:textId="2C51AC47" w:rsidR="006C0F46" w:rsidRDefault="009E4F71" w:rsidP="006C0F46">
      <w:r>
        <w:t>W</w:t>
      </w:r>
      <w:r w:rsidR="006C0F46" w:rsidRPr="002D0296">
        <w:t>e will</w:t>
      </w:r>
      <w:r>
        <w:t xml:space="preserve"> then</w:t>
      </w:r>
      <w:r w:rsidR="006C0F46" w:rsidRPr="002D0296">
        <w:t xml:space="preserve"> </w:t>
      </w:r>
      <w:r w:rsidR="006C0F46">
        <w:t>investigate</w:t>
      </w:r>
      <w:r w:rsidR="006C0F46" w:rsidRPr="002D0296">
        <w:t xml:space="preserve"> the distributions of </w:t>
      </w:r>
      <w:r w:rsidR="006C0F46" w:rsidRPr="00E111B3">
        <w:t>continuous variables via histograms, density plots, and boxplots, and categorical variables via</w:t>
      </w:r>
      <w:r w:rsidR="006C0F46">
        <w:t xml:space="preserve"> bar plots and</w:t>
      </w:r>
      <w:r w:rsidR="006C0F46" w:rsidRPr="00E111B3">
        <w:t xml:space="preserve"> crosstabs</w:t>
      </w:r>
      <w:r w:rsidR="006C0F46">
        <w:t xml:space="preserve"> as needed</w:t>
      </w:r>
      <w:r w:rsidR="006C0F46" w:rsidRPr="00E111B3">
        <w:t>. We will explore the relationships between the outcomes and exposures via crosstabs, histograms, boxplots, and scatterplots (with LOESS) as appropriate.</w:t>
      </w:r>
      <w:r w:rsidR="006C0F46">
        <w:t xml:space="preserve"> </w:t>
      </w:r>
      <w:r w:rsidR="006C0F46" w:rsidRPr="00E111B3">
        <w:t>We will check assumptions, identify outliers, and explore missingness as needed.</w:t>
      </w:r>
    </w:p>
    <w:p w14:paraId="156C364D" w14:textId="77777777" w:rsidR="006C0F46" w:rsidRPr="00E60874" w:rsidRDefault="006C0F46" w:rsidP="006C0F46">
      <w:pPr>
        <w:pStyle w:val="Heading3"/>
        <w:numPr>
          <w:ilvl w:val="0"/>
          <w:numId w:val="0"/>
        </w:numPr>
        <w:ind w:left="720" w:hanging="720"/>
      </w:pPr>
      <w:r w:rsidRPr="00E60874">
        <w:t>Graphical Displays</w:t>
      </w:r>
    </w:p>
    <w:p w14:paraId="736BEABB" w14:textId="003B1594" w:rsidR="006C0F46" w:rsidRPr="008A5413" w:rsidRDefault="009E4F71" w:rsidP="006C0F46">
      <w:r>
        <w:t>We will present relevant plots from exploratory analyses.</w:t>
      </w:r>
    </w:p>
    <w:p w14:paraId="0E190212" w14:textId="77777777" w:rsidR="006C0F46" w:rsidRDefault="006C0F46" w:rsidP="006C0F46">
      <w:pPr>
        <w:pStyle w:val="Heading3"/>
        <w:numPr>
          <w:ilvl w:val="0"/>
          <w:numId w:val="0"/>
        </w:numPr>
        <w:ind w:left="720" w:hanging="720"/>
      </w:pPr>
      <w:r>
        <w:t>Table 1</w:t>
      </w:r>
    </w:p>
    <w:p w14:paraId="7CE52F7E" w14:textId="24E2C0E2" w:rsidR="00E3055C" w:rsidRDefault="009E4F71" w:rsidP="00772396">
      <w:r>
        <w:t xml:space="preserve">Participants’ demographic and clinical </w:t>
      </w:r>
      <w:r w:rsidR="00772396">
        <w:t xml:space="preserve">characteristics </w:t>
      </w:r>
      <w:r w:rsidR="00772396" w:rsidRPr="002D0296">
        <w:t>will be presented across all subjects</w:t>
      </w:r>
      <w:r>
        <w:t xml:space="preserve"> and stratified by serum K value</w:t>
      </w:r>
      <w:r w:rsidR="00772396" w:rsidRPr="002D0296">
        <w:t>.</w:t>
      </w:r>
      <w:r>
        <w:t xml:space="preserve"> We will do this by populating the table shell in the Appendix. </w:t>
      </w:r>
      <w:r w:rsidR="00772396" w:rsidRPr="002D0296">
        <w:t>Categorical variables will be presented as counts (percent) and continuous variables will be presented as loca</w:t>
      </w:r>
      <w:r w:rsidR="00772396">
        <w:t>tion (spread)</w:t>
      </w:r>
      <w:r w:rsidR="008A5413">
        <w:t xml:space="preserve"> as appropriate</w:t>
      </w:r>
      <w:r w:rsidR="00772396">
        <w:t>.</w:t>
      </w:r>
      <w:r w:rsidRPr="009E4F71">
        <w:t xml:space="preserve"> Comparisons will be made with t-tests or Mann-Whitney tests as appropriate for continuous variables and chi-squared or Fisher’s exact tests as approp</w:t>
      </w:r>
      <w:r>
        <w:t xml:space="preserve">riate for categorical variables. </w:t>
      </w:r>
      <w:r w:rsidRPr="009E4F71">
        <w:t>No adjustment for multiple testing will be made as these are descriptive comparisons and not part of our primary hypotheses.</w:t>
      </w:r>
    </w:p>
    <w:p w14:paraId="795AEDB4" w14:textId="33B9F2B4" w:rsidR="00E3055C" w:rsidRDefault="00D277AE" w:rsidP="00E3055C">
      <w:pPr>
        <w:pStyle w:val="Heading2"/>
      </w:pPr>
      <w:r>
        <w:t xml:space="preserve">Analysis </w:t>
      </w:r>
      <w:r w:rsidR="00E3055C">
        <w:t>Plan for Aim 1</w:t>
      </w:r>
    </w:p>
    <w:p w14:paraId="397C8B78" w14:textId="0B910BB4" w:rsidR="00FE1F23" w:rsidRDefault="006F591D" w:rsidP="00FE1F23">
      <w:pPr>
        <w:pStyle w:val="ListParagraph"/>
        <w:ind w:left="0"/>
      </w:pPr>
      <w:r>
        <w:t xml:space="preserve">We want to </w:t>
      </w:r>
      <w:r w:rsidR="00D55B65">
        <w:t xml:space="preserve">compare the mean serum K </w:t>
      </w:r>
      <w:r w:rsidR="00F222B4">
        <w:t xml:space="preserve">between those with CKD and those without CKD. </w:t>
      </w:r>
      <w:r w:rsidR="009D1D7C" w:rsidRPr="00485E6C">
        <w:t>We assume that the</w:t>
      </w:r>
      <w:r w:rsidR="000B0EEB">
        <w:t>se</w:t>
      </w:r>
      <w:r w:rsidR="009D1D7C" w:rsidRPr="00485E6C">
        <w:t xml:space="preserve"> two populations are </w:t>
      </w:r>
      <w:r w:rsidR="00AC2760">
        <w:t xml:space="preserve">independent and </w:t>
      </w:r>
      <w:r w:rsidR="009D1D7C" w:rsidRPr="00485E6C">
        <w:t xml:space="preserve">normally distributed with unknown mean and unequal variances. </w:t>
      </w:r>
      <w:r w:rsidR="004D1EC5" w:rsidRPr="004D1EC5">
        <w:t xml:space="preserve">We will assume that serum K among CKD positive individuals ~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oMath>
      <w:r w:rsidR="004D1EC5" w:rsidRPr="004D1EC5">
        <w:t xml:space="preserve"> and that serum K among CKD negative individuals ~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oMath>
      <w:r w:rsidR="004D1EC5" w:rsidRPr="004D1EC5">
        <w:t>.</w:t>
      </w:r>
      <w:r w:rsidR="00400BF8">
        <w:t xml:space="preserve"> </w:t>
      </w:r>
    </w:p>
    <w:p w14:paraId="4FC7C0FE" w14:textId="77777777" w:rsidR="00FE1F23" w:rsidRDefault="00FE1F23" w:rsidP="00FE1F23">
      <w:pPr>
        <w:pStyle w:val="ListParagraph"/>
        <w:ind w:left="0"/>
      </w:pPr>
    </w:p>
    <w:p w14:paraId="6821295C" w14:textId="77777777" w:rsidR="00FE1F23" w:rsidRDefault="00400BF8" w:rsidP="00FE1F23">
      <w:pPr>
        <w:pStyle w:val="ListParagraph"/>
        <w:ind w:left="0"/>
      </w:pPr>
      <w:r w:rsidRPr="00400BF8">
        <w:t xml:space="preserve">The two methods </w:t>
      </w:r>
      <w:r>
        <w:t>we</w:t>
      </w:r>
      <w:r w:rsidRPr="00400BF8">
        <w:t xml:space="preserve"> </w:t>
      </w:r>
      <w:r w:rsidR="00A3578A">
        <w:t xml:space="preserve">will </w:t>
      </w:r>
      <w:r w:rsidRPr="00400BF8">
        <w:t xml:space="preserve">use </w:t>
      </w:r>
      <w:r w:rsidR="00F8347B">
        <w:t xml:space="preserve">to determine if the variances are equal or not </w:t>
      </w:r>
      <w:r w:rsidRPr="00400BF8">
        <w:t xml:space="preserve">are the variance ratio test and the rule of thumb. For the rule of thumb, </w:t>
      </w:r>
      <w:r w:rsidR="00A3578A">
        <w:t>we</w:t>
      </w:r>
      <w:r w:rsidRPr="00400BF8">
        <w:t xml:space="preserve"> will see if the ratio of the variances is greater than or equal to 3 and use the Satterthwaite approximation for the degrees of freedom if the variances are not equal.</w:t>
      </w:r>
      <w:r w:rsidR="00B60B24">
        <w:t xml:space="preserve"> </w:t>
      </w:r>
    </w:p>
    <w:p w14:paraId="3FDC1AA1" w14:textId="77777777" w:rsidR="00FE1F23" w:rsidRDefault="00FE1F23" w:rsidP="00FE1F23">
      <w:pPr>
        <w:pStyle w:val="ListParagraph"/>
        <w:ind w:left="0"/>
      </w:pPr>
    </w:p>
    <w:p w14:paraId="043F7573" w14:textId="27F02F7A" w:rsidR="00400BF8" w:rsidRDefault="00BA1101" w:rsidP="00073903">
      <w:pPr>
        <w:pStyle w:val="ListParagraph"/>
        <w:ind w:left="0"/>
      </w:pPr>
      <w:r>
        <w:t>W</w:t>
      </w:r>
      <w:r w:rsidR="00FE1F23">
        <w:t>e</w:t>
      </w:r>
      <w:r w:rsidR="00FE1F23" w:rsidRPr="00FE1F23">
        <w:t xml:space="preserve"> will use a two-sample t-test for the hypothesis test. If the variances are equal, we will pool the variances and use degrees of freedom </w:t>
      </w:r>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-2</m:t>
        </m:r>
      </m:oMath>
      <w:r w:rsidR="00FE1F23" w:rsidRPr="00FE1F23">
        <w:t>. If the variances are not equal, we will use each variance individually in the formulas and use the Satterthwaite approximation to find the degrees of freedom for the test.</w:t>
      </w:r>
      <w:r w:rsidR="00FE1F23">
        <w:t xml:space="preserve"> </w:t>
      </w:r>
      <w:r w:rsidR="00FE1F23" w:rsidRPr="00FE1F23">
        <w:t xml:space="preserve">Our hypotheses are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m:t>
            </m:r>
          </m:sub>
        </m:sSub>
      </m:oMath>
      <w:r w:rsidR="00FE1F23" w:rsidRPr="00FE1F23">
        <w:t xml:space="preserve"> where </w:t>
      </w:r>
      <m:oMath>
        <m:sSub>
          <m:sSubPr>
            <m:ctrlPr>
              <w:rPr>
                <w:rFonts w:ascii="Cambria Math" w:hAnsi="Cambria Math"/>
              </w:rPr>
            </m:ctrlPr>
          </m:sSubPr>
          <m:e>
            <m:r>
              <w:rPr>
                <w:rFonts w:ascii="Cambria Math" w:hAnsi="Cambria Math"/>
              </w:rPr>
              <m:t>μ</m:t>
            </m:r>
          </m:e>
          <m:sub>
            <m:r>
              <m:rPr>
                <m:sty m:val="p"/>
              </m:rPr>
              <w:rPr>
                <w:rFonts w:ascii="Cambria Math" w:hAnsi="Cambria Math"/>
              </w:rPr>
              <m:t>1</m:t>
            </m:r>
          </m:sub>
        </m:sSub>
      </m:oMath>
      <w:r w:rsidR="00FE1F23" w:rsidRPr="00FE1F23">
        <w:t xml:space="preserve"> is the unknown population mean serum K among CKD positive individuals and </w:t>
      </w:r>
      <m:oMath>
        <m:sSub>
          <m:sSubPr>
            <m:ctrlPr>
              <w:rPr>
                <w:rFonts w:ascii="Cambria Math" w:hAnsi="Cambria Math"/>
              </w:rPr>
            </m:ctrlPr>
          </m:sSubPr>
          <m:e>
            <m:r>
              <w:rPr>
                <w:rFonts w:ascii="Cambria Math" w:hAnsi="Cambria Math"/>
              </w:rPr>
              <m:t>μ</m:t>
            </m:r>
          </m:e>
          <m:sub>
            <m:r>
              <m:rPr>
                <m:sty m:val="p"/>
              </m:rPr>
              <w:rPr>
                <w:rFonts w:ascii="Cambria Math" w:hAnsi="Cambria Math"/>
              </w:rPr>
              <m:t>2</m:t>
            </m:r>
          </m:sub>
        </m:sSub>
      </m:oMath>
      <w:r w:rsidR="00FE1F23" w:rsidRPr="00FE1F23">
        <w:t xml:space="preserve"> is the unknown population mean serum K among CKD negative individuals</w:t>
      </w:r>
      <w:r w:rsidR="00073903">
        <w:t>.</w:t>
      </w:r>
    </w:p>
    <w:p w14:paraId="445A2D4B" w14:textId="52886525" w:rsidR="00B64068" w:rsidRDefault="00B64068" w:rsidP="00073903">
      <w:pPr>
        <w:pStyle w:val="ListParagraph"/>
        <w:ind w:left="0"/>
      </w:pPr>
    </w:p>
    <w:p w14:paraId="0733F236" w14:textId="77777777" w:rsidR="003703A2" w:rsidRDefault="00B64068" w:rsidP="00073903">
      <w:pPr>
        <w:pStyle w:val="ListParagraph"/>
        <w:ind w:left="0"/>
      </w:pPr>
      <w:r>
        <w:t>We also want to test the association between serum K and CKD</w:t>
      </w:r>
      <w:r w:rsidR="00CD74D4">
        <w:t xml:space="preserve"> status. </w:t>
      </w:r>
      <w:r w:rsidR="002B420C">
        <w:t xml:space="preserve">We will use the chi-squared test to test this association. We </w:t>
      </w:r>
      <w:r w:rsidR="008C0E3E">
        <w:t>will</w:t>
      </w:r>
      <w:r w:rsidR="002B420C">
        <w:t xml:space="preserve"> use a chi-squared test </w:t>
      </w:r>
      <w:r w:rsidR="008C0E3E">
        <w:t>if</w:t>
      </w:r>
      <w:r w:rsidR="002B420C">
        <w:t xml:space="preserve"> the </w:t>
      </w:r>
      <w:r w:rsidR="0036588D">
        <w:t>sample sizes are large enough (</w:t>
      </w:r>
      <w:r w:rsidR="00C5290C">
        <w:t xml:space="preserve">the count of each cell </w:t>
      </w:r>
      <w:r w:rsidR="00BB0730">
        <w:t xml:space="preserve">in the contingency table is greater than 5). </w:t>
      </w:r>
      <w:r w:rsidR="004B3510">
        <w:t xml:space="preserve">If the sample sizes </w:t>
      </w:r>
      <w:r w:rsidR="00F83EAE">
        <w:t xml:space="preserve">are not large enough, we will conduct a </w:t>
      </w:r>
      <w:r w:rsidR="008C0E3E">
        <w:t>Fisher’s exact test.</w:t>
      </w:r>
      <w:r w:rsidR="00F93E0C">
        <w:t xml:space="preserve"> </w:t>
      </w:r>
    </w:p>
    <w:p w14:paraId="19CE0D64" w14:textId="77777777" w:rsidR="003703A2" w:rsidRDefault="003703A2" w:rsidP="00073903">
      <w:pPr>
        <w:pStyle w:val="ListParagraph"/>
        <w:ind w:left="0"/>
      </w:pPr>
    </w:p>
    <w:p w14:paraId="25FCF3DB" w14:textId="65304B6A" w:rsidR="003703A2" w:rsidRDefault="00F93E0C" w:rsidP="00073903">
      <w:pPr>
        <w:pStyle w:val="ListParagraph"/>
        <w:ind w:left="0"/>
      </w:pPr>
      <w:r>
        <w:t xml:space="preserve">The hypotheses we will test </w:t>
      </w:r>
      <w:r w:rsidR="003C1E50">
        <w:t xml:space="preserve">with the chi-squared test </w:t>
      </w:r>
      <w:r>
        <w:t xml:space="preserve">are </w:t>
      </w:r>
    </w:p>
    <w:p w14:paraId="559D208B" w14:textId="349AAFDC" w:rsidR="00B64068" w:rsidRDefault="003703A2" w:rsidP="00073903">
      <w:pPr>
        <w:pStyle w:val="ListParagraph"/>
        <w:ind w:left="0"/>
        <w:rPr>
          <w:rFonts w:eastAsiaTheme="minorEastAsia"/>
        </w:rPr>
      </w:pPr>
      <w:r>
        <w:tab/>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oMath>
      <w:r w:rsidR="0063236D">
        <w:rPr>
          <w:rFonts w:eastAsiaTheme="minorEastAsia"/>
        </w:rPr>
        <w:t xml:space="preserve"> serum K and CKD status are independent</w:t>
      </w:r>
      <w:r w:rsidR="003C1E50">
        <w:rPr>
          <w:rFonts w:eastAsiaTheme="minorEastAsia"/>
        </w:rPr>
        <w:t xml:space="preserve"> of each other</w:t>
      </w:r>
      <w:r w:rsidR="0063236D">
        <w:rPr>
          <w:rFonts w:eastAsiaTheme="minorEastAsia"/>
        </w:rPr>
        <w:t>.</w:t>
      </w:r>
    </w:p>
    <w:p w14:paraId="10570A2A" w14:textId="26B6C6DA" w:rsidR="003703A2" w:rsidRDefault="003703A2" w:rsidP="00073903">
      <w:pPr>
        <w:pStyle w:val="ListParagraph"/>
        <w:ind w:left="0"/>
        <w:rPr>
          <w:rFonts w:eastAsiaTheme="minorEastAsia"/>
        </w:rPr>
      </w:pPr>
      <w:r>
        <w:rPr>
          <w:rFonts w:eastAsiaTheme="minorEastAsia"/>
        </w:rPr>
        <w:tab/>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Pr>
          <w:rFonts w:eastAsiaTheme="minorEastAsia"/>
        </w:rPr>
        <w:t xml:space="preserve"> serum K and CKD status are associated</w:t>
      </w:r>
      <w:r w:rsidR="003C1E50">
        <w:rPr>
          <w:rFonts w:eastAsiaTheme="minorEastAsia"/>
        </w:rPr>
        <w:t xml:space="preserve"> with each other</w:t>
      </w:r>
      <w:r>
        <w:rPr>
          <w:rFonts w:eastAsiaTheme="minorEastAsia"/>
        </w:rPr>
        <w:t>.</w:t>
      </w:r>
    </w:p>
    <w:p w14:paraId="7094D6B4" w14:textId="39B6BF60" w:rsidR="003703A2" w:rsidRDefault="003703A2" w:rsidP="00073903">
      <w:pPr>
        <w:pStyle w:val="ListParagraph"/>
        <w:ind w:left="0"/>
        <w:rPr>
          <w:rFonts w:eastAsiaTheme="minorEastAsia"/>
        </w:rPr>
      </w:pPr>
    </w:p>
    <w:p w14:paraId="32D896CC" w14:textId="1FB078B6" w:rsidR="005551ED" w:rsidRDefault="00BE1115" w:rsidP="00073903">
      <w:pPr>
        <w:pStyle w:val="ListParagraph"/>
        <w:ind w:left="0"/>
        <w:rPr>
          <w:rFonts w:eastAsiaTheme="minorEastAsia"/>
        </w:rPr>
      </w:pPr>
      <w:r>
        <w:rPr>
          <w:rFonts w:eastAsiaTheme="minorEastAsia"/>
        </w:rPr>
        <w:t xml:space="preserve">After </w:t>
      </w:r>
      <w:r w:rsidR="007B49BE">
        <w:rPr>
          <w:rFonts w:eastAsiaTheme="minorEastAsia"/>
        </w:rPr>
        <w:t>conducting the chi-squared test, we will measure relative risk and the odds ratio</w:t>
      </w:r>
      <w:r w:rsidR="006A261E">
        <w:rPr>
          <w:rFonts w:eastAsiaTheme="minorEastAsia"/>
        </w:rPr>
        <w:t xml:space="preserve">. In this case, the relative risk </w:t>
      </w:r>
      <w:r w:rsidR="00294EB1">
        <w:rPr>
          <w:rFonts w:eastAsiaTheme="minorEastAsia"/>
        </w:rPr>
        <w:t xml:space="preserve">represents the </w:t>
      </w:r>
      <w:r w:rsidR="007656F2">
        <w:rPr>
          <w:rFonts w:eastAsiaTheme="minorEastAsia"/>
        </w:rPr>
        <w:t>increase</w:t>
      </w:r>
      <w:r w:rsidR="004F7ACC">
        <w:rPr>
          <w:rFonts w:eastAsiaTheme="minorEastAsia"/>
        </w:rPr>
        <w:t xml:space="preserve"> or decrease</w:t>
      </w:r>
      <w:r w:rsidR="007656F2">
        <w:rPr>
          <w:rFonts w:eastAsiaTheme="minorEastAsia"/>
        </w:rPr>
        <w:t xml:space="preserve"> in risk of having chronic kidney disease (CKD) given an individual has normal serum K </w:t>
      </w:r>
      <w:r w:rsidR="006E756E">
        <w:rPr>
          <w:rFonts w:eastAsiaTheme="minorEastAsia"/>
        </w:rPr>
        <w:t xml:space="preserve">intake rather than low-normal serum K intake. The odds ratio </w:t>
      </w:r>
      <w:r w:rsidR="000623E9">
        <w:rPr>
          <w:rFonts w:eastAsiaTheme="minorEastAsia"/>
        </w:rPr>
        <w:t>represents the increase or decrease in odds of having CKD given an individual has normal serum K intake rather than low-normal serum K intake.</w:t>
      </w:r>
      <w:r w:rsidR="00940874">
        <w:rPr>
          <w:rFonts w:eastAsiaTheme="minorEastAsia"/>
        </w:rPr>
        <w:t xml:space="preserve"> We will also give the corresponding 95% confidence intervals for each of these measures.</w:t>
      </w:r>
      <w:r w:rsidR="00D32250">
        <w:rPr>
          <w:rFonts w:eastAsiaTheme="minorEastAsia"/>
        </w:rPr>
        <w:t xml:space="preserve"> In our calculations,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w:r w:rsidR="00B91CF4">
        <w:rPr>
          <w:rFonts w:eastAsiaTheme="minorEastAsia"/>
        </w:rPr>
        <w:t xml:space="preserve">will be the probability </w:t>
      </w:r>
      <w:r w:rsidR="00E55BE2">
        <w:rPr>
          <w:rFonts w:eastAsiaTheme="minorEastAsia"/>
        </w:rPr>
        <w:t xml:space="preserve">that an individual is CKD positive given that </w:t>
      </w:r>
      <w:r w:rsidR="00CA72D4">
        <w:rPr>
          <w:rFonts w:eastAsiaTheme="minorEastAsia"/>
        </w:rPr>
        <w:t xml:space="preserve">they have normal serum K intake and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w:r w:rsidR="00CA72D4">
        <w:rPr>
          <w:rFonts w:eastAsiaTheme="minorEastAsia"/>
        </w:rPr>
        <w:t xml:space="preserve">will be the probability that an individual is CKD positive given that they have </w:t>
      </w:r>
      <w:r w:rsidR="00CA72D4">
        <w:rPr>
          <w:rFonts w:eastAsiaTheme="minorEastAsia"/>
        </w:rPr>
        <w:t>low-</w:t>
      </w:r>
      <w:r w:rsidR="00CA72D4">
        <w:rPr>
          <w:rFonts w:eastAsiaTheme="minorEastAsia"/>
        </w:rPr>
        <w:t>normal serum K intake</w:t>
      </w:r>
      <w:r w:rsidR="00CA72D4">
        <w:rPr>
          <w:rFonts w:eastAsiaTheme="minorEastAsia"/>
        </w:rPr>
        <w:t>.</w:t>
      </w:r>
    </w:p>
    <w:p w14:paraId="0C4E7353" w14:textId="38AAF6D8" w:rsidR="00940874" w:rsidRDefault="00940874" w:rsidP="00073903">
      <w:pPr>
        <w:pStyle w:val="ListParagraph"/>
        <w:ind w:left="0"/>
        <w:rPr>
          <w:rFonts w:eastAsiaTheme="minorEastAsia"/>
        </w:rPr>
      </w:pPr>
    </w:p>
    <w:p w14:paraId="11CC7F15" w14:textId="3CF5706A" w:rsidR="00940874" w:rsidRDefault="0015649E" w:rsidP="00073903">
      <w:pPr>
        <w:pStyle w:val="ListParagraph"/>
        <w:ind w:left="0"/>
        <w:rPr>
          <w:rFonts w:eastAsiaTheme="minorEastAsia"/>
        </w:rPr>
      </w:pPr>
      <w:r>
        <w:rPr>
          <w:rFonts w:eastAsiaTheme="minorEastAsia"/>
        </w:rPr>
        <w:t>Based on our research hypothes</w:t>
      </w:r>
      <w:r w:rsidR="00D17A40">
        <w:rPr>
          <w:rFonts w:eastAsiaTheme="minorEastAsia"/>
        </w:rPr>
        <w:t>i</w:t>
      </w:r>
      <w:r>
        <w:rPr>
          <w:rFonts w:eastAsiaTheme="minorEastAsia"/>
        </w:rPr>
        <w:t>s, we expect</w:t>
      </w:r>
      <w:r w:rsidR="000B7D99">
        <w:rPr>
          <w:rFonts w:eastAsiaTheme="minorEastAsia"/>
        </w:rPr>
        <w:t xml:space="preserve"> the measures </w:t>
      </w:r>
      <w:r w:rsidR="00D17A40">
        <w:rPr>
          <w:rFonts w:eastAsiaTheme="minorEastAsia"/>
        </w:rPr>
        <w:t xml:space="preserve">(RR and OR) to be less than 1. </w:t>
      </w:r>
      <w:r w:rsidR="00C90B8C">
        <w:rPr>
          <w:rFonts w:eastAsiaTheme="minorEastAsia"/>
        </w:rPr>
        <w:t>We hypothesize that a higher serum K will lead to negative CKD status</w:t>
      </w:r>
      <w:r w:rsidR="00C00AA1">
        <w:rPr>
          <w:rFonts w:eastAsiaTheme="minorEastAsia"/>
        </w:rPr>
        <w:t xml:space="preserve"> and an odds</w:t>
      </w:r>
      <w:r w:rsidR="004C46D3">
        <w:rPr>
          <w:rFonts w:eastAsiaTheme="minorEastAsia"/>
        </w:rPr>
        <w:t>/risk</w:t>
      </w:r>
      <w:r w:rsidR="00C00AA1">
        <w:rPr>
          <w:rFonts w:eastAsiaTheme="minorEastAsia"/>
        </w:rPr>
        <w:t xml:space="preserve"> ratio greater than 1 would mean that a higher serum K will lead to positive CKD status.</w:t>
      </w:r>
    </w:p>
    <w:p w14:paraId="2EE65678" w14:textId="559009C4" w:rsidR="004C46D3" w:rsidRDefault="004C46D3" w:rsidP="00073903">
      <w:pPr>
        <w:pStyle w:val="ListParagraph"/>
        <w:ind w:left="0"/>
        <w:rPr>
          <w:rFonts w:eastAsiaTheme="minorEastAsia"/>
        </w:rPr>
      </w:pPr>
    </w:p>
    <w:p w14:paraId="11D38BAF" w14:textId="4CF14859" w:rsidR="004C46D3" w:rsidRDefault="00D1553B" w:rsidP="00073903">
      <w:pPr>
        <w:pStyle w:val="ListParagraph"/>
        <w:ind w:left="0"/>
        <w:rPr>
          <w:rFonts w:eastAsiaTheme="minorEastAsia"/>
        </w:rPr>
      </w:pPr>
      <w:r>
        <w:rPr>
          <w:rFonts w:eastAsiaTheme="minorEastAsia"/>
        </w:rPr>
        <w:t xml:space="preserve">Lastly, we will perform a </w:t>
      </w:r>
      <w:r w:rsidR="00024937">
        <w:rPr>
          <w:rFonts w:eastAsiaTheme="minorEastAsia"/>
        </w:rPr>
        <w:t>Mantel-Ha</w:t>
      </w:r>
      <w:r w:rsidR="00D27EF8">
        <w:rPr>
          <w:rFonts w:eastAsiaTheme="minorEastAsia"/>
        </w:rPr>
        <w:t xml:space="preserve">enszel (MH) test to assess the association between serum K and CKD after adjusting for age. </w:t>
      </w:r>
      <w:r w:rsidR="005F59F4">
        <w:rPr>
          <w:rFonts w:eastAsiaTheme="minorEastAsia"/>
        </w:rPr>
        <w:t xml:space="preserve">We believe age will be a confounding variable in this analysis, so we adjust for it in this test. </w:t>
      </w:r>
      <w:r w:rsidR="00D27EF8">
        <w:rPr>
          <w:rFonts w:eastAsiaTheme="minorEastAsia"/>
        </w:rPr>
        <w:t>We will put individuals into two categories for age</w:t>
      </w:r>
      <w:r w:rsidR="00520694">
        <w:rPr>
          <w:rFonts w:eastAsiaTheme="minorEastAsia"/>
        </w:rPr>
        <w:t xml:space="preserve">: 60 and older, under 60 years old. </w:t>
      </w:r>
      <w:r w:rsidR="004856B2">
        <w:rPr>
          <w:rFonts w:eastAsiaTheme="minorEastAsia"/>
        </w:rPr>
        <w:t>As part of the results of the MH test, we will estimate the odds ratio for each age group.</w:t>
      </w:r>
    </w:p>
    <w:p w14:paraId="60160C1B" w14:textId="48DB5594" w:rsidR="00EC479F" w:rsidRDefault="00EC479F" w:rsidP="00073903">
      <w:pPr>
        <w:pStyle w:val="ListParagraph"/>
        <w:ind w:left="0"/>
        <w:rPr>
          <w:rFonts w:eastAsiaTheme="minorEastAsia"/>
        </w:rPr>
      </w:pPr>
    </w:p>
    <w:p w14:paraId="216EEC94" w14:textId="56E97BD3" w:rsidR="00EC479F" w:rsidRDefault="00EC479F" w:rsidP="00073903">
      <w:pPr>
        <w:pStyle w:val="ListParagraph"/>
        <w:ind w:left="0"/>
        <w:rPr>
          <w:rFonts w:eastAsiaTheme="minorEastAsia"/>
        </w:rPr>
      </w:pPr>
      <w:r>
        <w:rPr>
          <w:rFonts w:eastAsiaTheme="minorEastAsia"/>
        </w:rPr>
        <w:t>Our hypotheses for the MH test are</w:t>
      </w:r>
      <w:r w:rsidR="000C5F6F">
        <w:rPr>
          <w:rFonts w:eastAsiaTheme="minorEastAsia"/>
        </w:rPr>
        <w:t xml:space="preserve"> similar to the chi-squared test:</w:t>
      </w:r>
    </w:p>
    <w:p w14:paraId="550EF699" w14:textId="2D6DE192" w:rsidR="005359A8" w:rsidRDefault="00EC479F" w:rsidP="005359A8">
      <w:pPr>
        <w:pStyle w:val="ListParagraph"/>
        <w:ind w:left="0"/>
        <w:rPr>
          <w:rFonts w:eastAsiaTheme="minorEastAsia"/>
        </w:rPr>
      </w:pPr>
      <w:r>
        <w:rPr>
          <w:rFonts w:eastAsiaTheme="minorEastAsia"/>
        </w:rPr>
        <w:tab/>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oMath>
      <w:r w:rsidR="005359A8">
        <w:rPr>
          <w:rFonts w:eastAsiaTheme="minorEastAsia"/>
        </w:rPr>
        <w:t xml:space="preserve"> serum K and CKD status are independent of each other</w:t>
      </w:r>
      <w:r w:rsidR="00392985">
        <w:rPr>
          <w:rFonts w:eastAsiaTheme="minorEastAsia"/>
        </w:rPr>
        <w:t xml:space="preserve"> after controlling for age.</w:t>
      </w:r>
    </w:p>
    <w:p w14:paraId="32A5CB09" w14:textId="517636B4" w:rsidR="004D1EC5" w:rsidRPr="004856B2" w:rsidRDefault="005359A8" w:rsidP="004D1EC5">
      <w:pPr>
        <w:pStyle w:val="ListParagraph"/>
        <w:ind w:left="0"/>
        <w:rPr>
          <w:rFonts w:eastAsiaTheme="minorEastAsia"/>
        </w:rPr>
      </w:pPr>
      <w:r>
        <w:rPr>
          <w:rFonts w:eastAsiaTheme="minorEastAsia"/>
        </w:rPr>
        <w:tab/>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Pr>
          <w:rFonts w:eastAsiaTheme="minorEastAsia"/>
        </w:rPr>
        <w:t xml:space="preserve"> serum K and CKD status are associated with each other</w:t>
      </w:r>
      <w:r w:rsidR="00392985">
        <w:rPr>
          <w:rFonts w:eastAsiaTheme="minorEastAsia"/>
        </w:rPr>
        <w:t xml:space="preserve"> after controlling for age.</w:t>
      </w:r>
    </w:p>
    <w:p w14:paraId="24F637CB" w14:textId="5B3D33C9" w:rsidR="00E3055C" w:rsidRDefault="00D277AE" w:rsidP="00E3055C">
      <w:pPr>
        <w:pStyle w:val="Heading2"/>
      </w:pPr>
      <w:r>
        <w:t xml:space="preserve">Analysis </w:t>
      </w:r>
      <w:r w:rsidR="00E3055C">
        <w:t>Plan for Aim 2</w:t>
      </w:r>
    </w:p>
    <w:p w14:paraId="6B0A83E0" w14:textId="77777777" w:rsidR="00A15D95" w:rsidRPr="00A15D95" w:rsidRDefault="00A15D95" w:rsidP="00A15D95">
      <w:pPr>
        <w:pStyle w:val="ListParagraph"/>
        <w:ind w:left="0"/>
      </w:pPr>
      <w:r w:rsidRPr="00A15D95">
        <w:t>Similar analyses described in Section 4.1 above will be performed with serum K replaced with dietary K intake.</w:t>
      </w:r>
    </w:p>
    <w:p w14:paraId="2E684C08" w14:textId="75322DBE" w:rsidR="008A5413" w:rsidRDefault="008A5413" w:rsidP="008A5413">
      <w:pPr>
        <w:pStyle w:val="Heading2"/>
      </w:pPr>
      <w:r>
        <w:t>Analysis Plan for Aim 3</w:t>
      </w:r>
    </w:p>
    <w:p w14:paraId="0575EF46" w14:textId="77777777" w:rsidR="00497D7F" w:rsidRDefault="00FF7200" w:rsidP="00497D7F">
      <w:pPr>
        <w:pStyle w:val="ListParagraph"/>
        <w:ind w:left="0"/>
        <w:rPr>
          <w:rFonts w:eastAsiaTheme="minorEastAsia"/>
          <w:color w:val="00B050"/>
        </w:rPr>
      </w:pPr>
      <w:r>
        <w:t xml:space="preserve">We want to compare the mean </w:t>
      </w:r>
      <w:r w:rsidR="0062051C">
        <w:t>eGFR</w:t>
      </w:r>
      <w:r>
        <w:t xml:space="preserve"> between those with </w:t>
      </w:r>
      <w:r w:rsidR="00D76040">
        <w:t>low-normal serum K</w:t>
      </w:r>
      <w:r>
        <w:t xml:space="preserve"> and those wit</w:t>
      </w:r>
      <w:r w:rsidR="00D76040">
        <w:t>h normal serum K</w:t>
      </w:r>
      <w:r>
        <w:t xml:space="preserve">. </w:t>
      </w:r>
      <w:r w:rsidRPr="00485E6C">
        <w:t>We assume that the</w:t>
      </w:r>
      <w:r>
        <w:t>se</w:t>
      </w:r>
      <w:r w:rsidRPr="00485E6C">
        <w:t xml:space="preserve"> two populations are </w:t>
      </w:r>
      <w:r>
        <w:t xml:space="preserve">independent and </w:t>
      </w:r>
      <w:r w:rsidRPr="00485E6C">
        <w:t>normally distributed with unknown mean and unequal variances.</w:t>
      </w:r>
      <w:r w:rsidRPr="00497D7F">
        <w:t xml:space="preserve"> </w:t>
      </w:r>
      <w:r w:rsidR="00497D7F" w:rsidRPr="00497D7F">
        <w:t xml:space="preserve">We will assume that eGFR among individuals with low-normal serum K ~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r>
          <w:rPr>
            <w:rFonts w:ascii="Cambria Math" w:hAnsi="Cambria Math"/>
          </w:rPr>
          <m:t>)</m:t>
        </m:r>
      </m:oMath>
      <w:r w:rsidR="00497D7F" w:rsidRPr="00497D7F">
        <w:rPr>
          <w:rFonts w:eastAsiaTheme="minorEastAsia"/>
        </w:rPr>
        <w:t xml:space="preserve"> and that eGFR among individuals with normal serum K </w:t>
      </w:r>
      <w:r w:rsidR="00497D7F" w:rsidRPr="00497D7F">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4</m:t>
            </m:r>
          </m:sub>
          <m:sup>
            <m:r>
              <w:rPr>
                <w:rFonts w:ascii="Cambria Math" w:hAnsi="Cambria Math"/>
              </w:rPr>
              <m:t>2</m:t>
            </m:r>
          </m:sup>
        </m:sSubSup>
        <m:r>
          <w:rPr>
            <w:rFonts w:ascii="Cambria Math" w:hAnsi="Cambria Math"/>
          </w:rPr>
          <m:t>)</m:t>
        </m:r>
      </m:oMath>
      <w:r w:rsidR="00497D7F" w:rsidRPr="00497D7F">
        <w:rPr>
          <w:rFonts w:eastAsiaTheme="minorEastAsia"/>
        </w:rPr>
        <w:t>.</w:t>
      </w:r>
    </w:p>
    <w:p w14:paraId="32A93BBF" w14:textId="77777777" w:rsidR="00FF7200" w:rsidRDefault="00FF7200" w:rsidP="00FF7200">
      <w:pPr>
        <w:pStyle w:val="ListParagraph"/>
        <w:ind w:left="0"/>
      </w:pPr>
    </w:p>
    <w:p w14:paraId="2165DCB0" w14:textId="77777777" w:rsidR="00FF7200" w:rsidRDefault="00FF7200" w:rsidP="00FF7200">
      <w:pPr>
        <w:pStyle w:val="ListParagraph"/>
        <w:ind w:left="0"/>
      </w:pPr>
      <w:r w:rsidRPr="00400BF8">
        <w:t xml:space="preserve">The two methods </w:t>
      </w:r>
      <w:r>
        <w:t>we</w:t>
      </w:r>
      <w:r w:rsidRPr="00400BF8">
        <w:t xml:space="preserve"> </w:t>
      </w:r>
      <w:r>
        <w:t xml:space="preserve">will </w:t>
      </w:r>
      <w:r w:rsidRPr="00400BF8">
        <w:t xml:space="preserve">use </w:t>
      </w:r>
      <w:r>
        <w:t xml:space="preserve">to determine if the variances are equal or not </w:t>
      </w:r>
      <w:r w:rsidRPr="00400BF8">
        <w:t xml:space="preserve">are the variance ratio test and the rule of thumb. For the rule of thumb, </w:t>
      </w:r>
      <w:r>
        <w:t>we</w:t>
      </w:r>
      <w:r w:rsidRPr="00400BF8">
        <w:t xml:space="preserve"> will see if the ratio of the variances is greater than or equal to 3 and use the Satterthwaite approximation for the degrees of freedom if the variances are not equal.</w:t>
      </w:r>
      <w:r>
        <w:t xml:space="preserve"> </w:t>
      </w:r>
    </w:p>
    <w:p w14:paraId="5BD01EA8" w14:textId="77777777" w:rsidR="00FF7200" w:rsidRDefault="00FF7200" w:rsidP="00FF7200">
      <w:pPr>
        <w:pStyle w:val="ListParagraph"/>
        <w:ind w:left="0"/>
      </w:pPr>
    </w:p>
    <w:p w14:paraId="3E7DD582" w14:textId="6E65A1A5" w:rsidR="00FF7200" w:rsidRPr="00762F20" w:rsidRDefault="00D03339" w:rsidP="00FF7200">
      <w:pPr>
        <w:pStyle w:val="ListParagraph"/>
        <w:ind w:left="0"/>
        <w:rPr>
          <w:rFonts w:eastAsiaTheme="minorEastAsia"/>
        </w:rPr>
      </w:pPr>
      <w:r>
        <w:t>We</w:t>
      </w:r>
      <w:r w:rsidRPr="00D03339">
        <w:t xml:space="preserve"> will use a two-sample t-test for the hypothesis test. If the variances are equal, we will pool the variances and use degrees of freedom </w:t>
      </w:r>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eastAsiaTheme="minorEastAsia" w:hAnsi="Cambria Math"/>
          </w:rPr>
          <m:t>-2</m:t>
        </m:r>
      </m:oMath>
      <w:r w:rsidRPr="00D03339">
        <w:rPr>
          <w:rFonts w:eastAsiaTheme="minorEastAsia"/>
        </w:rPr>
        <w:t>. If the variances are not equal, we will use each variance individually in the formulas and use the Satterthwaite approximation to find the degrees of freedom for the test.</w:t>
      </w:r>
      <w:r>
        <w:rPr>
          <w:rFonts w:eastAsiaTheme="minorEastAsia"/>
        </w:rPr>
        <w:t xml:space="preserve"> </w:t>
      </w:r>
      <w:r w:rsidRPr="00D03339">
        <w:t xml:space="preserve">Our hypotheses are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Pr="00D03339">
        <w:rPr>
          <w:rFonts w:eastAsiaTheme="minorEastAsia"/>
        </w:rPr>
        <w:t xml:space="preserve"> where </w:t>
      </w:r>
      <m:oMath>
        <m:sSub>
          <m:sSubPr>
            <m:ctrlPr>
              <w:rPr>
                <w:rFonts w:ascii="Cambria Math" w:hAnsi="Cambria Math"/>
                <w:i/>
              </w:rPr>
            </m:ctrlPr>
          </m:sSubPr>
          <m:e>
            <m:r>
              <w:rPr>
                <w:rFonts w:ascii="Cambria Math" w:hAnsi="Cambria Math"/>
              </w:rPr>
              <m:t>μ</m:t>
            </m:r>
          </m:e>
          <m:sub>
            <m:r>
              <w:rPr>
                <w:rFonts w:ascii="Cambria Math" w:hAnsi="Cambria Math"/>
              </w:rPr>
              <m:t>3</m:t>
            </m:r>
          </m:sub>
        </m:sSub>
      </m:oMath>
      <w:r w:rsidRPr="00D03339">
        <w:rPr>
          <w:rFonts w:eastAsiaTheme="minorEastAsia"/>
        </w:rPr>
        <w:t xml:space="preserve"> is the unknown population mean eGFR among individuals with low-normal serum K and </w:t>
      </w:r>
      <m:oMath>
        <m:sSub>
          <m:sSubPr>
            <m:ctrlPr>
              <w:rPr>
                <w:rFonts w:ascii="Cambria Math" w:hAnsi="Cambria Math"/>
                <w:i/>
              </w:rPr>
            </m:ctrlPr>
          </m:sSubPr>
          <m:e>
            <m:r>
              <w:rPr>
                <w:rFonts w:ascii="Cambria Math" w:hAnsi="Cambria Math"/>
              </w:rPr>
              <m:t>μ</m:t>
            </m:r>
          </m:e>
          <m:sub>
            <m:r>
              <w:rPr>
                <w:rFonts w:ascii="Cambria Math" w:hAnsi="Cambria Math"/>
              </w:rPr>
              <m:t>4</m:t>
            </m:r>
          </m:sub>
        </m:sSub>
      </m:oMath>
      <w:r w:rsidRPr="00D03339">
        <w:rPr>
          <w:rFonts w:eastAsiaTheme="minorEastAsia"/>
        </w:rPr>
        <w:t xml:space="preserve"> is the unknown population mean eGFR among individuals with normal serum K.</w:t>
      </w:r>
    </w:p>
    <w:p w14:paraId="28B81CD0" w14:textId="5CB64C54" w:rsidR="008A5413" w:rsidRDefault="008A5413" w:rsidP="008A5413">
      <w:pPr>
        <w:pStyle w:val="Heading2"/>
      </w:pPr>
      <w:r>
        <w:t>Analysis Plan for Aim 4</w:t>
      </w:r>
    </w:p>
    <w:p w14:paraId="7B680671" w14:textId="77777777" w:rsidR="00DB558F" w:rsidRPr="00DB558F" w:rsidRDefault="00DB558F" w:rsidP="00DB558F">
      <w:pPr>
        <w:pStyle w:val="ListParagraph"/>
        <w:ind w:left="0"/>
        <w:rPr>
          <w:rFonts w:eastAsiaTheme="minorEastAsia"/>
        </w:rPr>
      </w:pPr>
      <w:r w:rsidRPr="00DB558F">
        <w:rPr>
          <w:rFonts w:eastAsiaTheme="minorEastAsia"/>
        </w:rPr>
        <w:t>Similar analyses described in Section 4.3 above will be performed with serum K replaced with dietary K intake.</w:t>
      </w:r>
    </w:p>
    <w:p w14:paraId="354E6DFE" w14:textId="5266FB14" w:rsidR="00543C51" w:rsidRDefault="00543C51" w:rsidP="00526DA4">
      <w:pPr>
        <w:pStyle w:val="Heading1"/>
      </w:pPr>
      <w:r w:rsidRPr="00526DA4">
        <w:t>Statistical Analysis</w:t>
      </w:r>
      <w:r w:rsidR="00A94BA4" w:rsidRPr="00526DA4">
        <w:t xml:space="preserve"> </w:t>
      </w:r>
      <w:r w:rsidRPr="00526DA4">
        <w:t>Results</w:t>
      </w:r>
    </w:p>
    <w:p w14:paraId="79167BCF" w14:textId="77777777" w:rsidR="009E4F71" w:rsidRPr="00E60874" w:rsidRDefault="009E4F71" w:rsidP="009E4F71">
      <w:pPr>
        <w:pStyle w:val="Heading3"/>
        <w:numPr>
          <w:ilvl w:val="0"/>
          <w:numId w:val="0"/>
        </w:numPr>
        <w:ind w:left="720" w:hanging="720"/>
      </w:pPr>
      <w:r w:rsidRPr="00E60874">
        <w:t>Exploratory Analyses</w:t>
      </w:r>
      <w:r>
        <w:t xml:space="preserve"> and CONSORT Numbers</w:t>
      </w:r>
    </w:p>
    <w:p w14:paraId="6C94E0D6" w14:textId="520400F7" w:rsidR="00E60874" w:rsidRDefault="00EE483C" w:rsidP="00E60874">
      <w:r>
        <w:t xml:space="preserve">A few outliers were noted and </w:t>
      </w:r>
      <w:r w:rsidR="00EC44A3">
        <w:t xml:space="preserve">changed to be missing values in the following </w:t>
      </w:r>
      <w:r w:rsidR="008E7FF7">
        <w:t xml:space="preserve">variables: </w:t>
      </w:r>
      <w:r w:rsidR="006813A7">
        <w:t xml:space="preserve">BMI, SBP, </w:t>
      </w:r>
      <w:r w:rsidR="00F23113">
        <w:t xml:space="preserve">ACR, </w:t>
      </w:r>
      <w:r w:rsidR="004407ED">
        <w:t xml:space="preserve">A1C, and </w:t>
      </w:r>
      <w:r w:rsidR="001B752C">
        <w:t>DBP.</w:t>
      </w:r>
      <w:r w:rsidR="0024207E">
        <w:t xml:space="preserve"> </w:t>
      </w:r>
    </w:p>
    <w:p w14:paraId="30CFFBE4" w14:textId="7D0B1779" w:rsidR="00950AE3" w:rsidRDefault="00950AE3" w:rsidP="00E60874">
      <w:r>
        <w:t xml:space="preserve">CONSORT Numbers: </w:t>
      </w:r>
      <w:r w:rsidR="0006279F">
        <w:t xml:space="preserve">There were 47 participants </w:t>
      </w:r>
      <w:r w:rsidR="004975AF">
        <w:t xml:space="preserve">missing CKD status and 3 participants </w:t>
      </w:r>
      <w:r w:rsidR="00967812">
        <w:t>missing serum K values. These 50 participants were excluded from the analysis and thus the analysis was performed on 300 individuals.</w:t>
      </w:r>
      <w:r w:rsidR="006116FB">
        <w:t xml:space="preserve"> In addition, there were 32 participants with missing dietary K values. Thus, </w:t>
      </w:r>
      <w:r w:rsidR="00F96E4D">
        <w:t>any analysis where dietary K is involved only includes 268 individuals.</w:t>
      </w:r>
    </w:p>
    <w:p w14:paraId="0428285A" w14:textId="4A22C1CB" w:rsidR="009B5D53" w:rsidRDefault="009B5D53" w:rsidP="00E60874">
      <w:r>
        <w:t>Combi</w:t>
      </w:r>
      <w:r w:rsidR="00534510">
        <w:t>ned borderline adequate and adequate intake groups of diet K to make one adequate group that can be compared to the inadequate diet K intake group.</w:t>
      </w:r>
    </w:p>
    <w:p w14:paraId="32716B81" w14:textId="14377BBE" w:rsidR="0025120B" w:rsidRDefault="0025120B" w:rsidP="00E60874">
      <w:pPr>
        <w:rPr>
          <w:b/>
          <w:bCs/>
        </w:rPr>
      </w:pPr>
      <w:r w:rsidRPr="0025120B">
        <w:rPr>
          <w:b/>
          <w:bCs/>
        </w:rPr>
        <w:t>eGFR</w:t>
      </w:r>
    </w:p>
    <w:p w14:paraId="2FF2EF90" w14:textId="77777777" w:rsidR="0025120B" w:rsidRDefault="0025120B" w:rsidP="0025120B">
      <w:pPr>
        <w:contextualSpacing/>
      </w:pPr>
      <w:r w:rsidRPr="00C95DCD">
        <w:t>The mean of eGFR is 89.34 and the standard deviation of eGFR is 23.80. Using these numbers, the interval of values of eGFR within one standard deviation of the mean is (65.54, 113.14). Exactly 68% of the eGFR values are contained in this interval. The interval of eGFR values within two standard deviations of the mean is (41.75, 136.93). 97% of the eGFR values are contained in this interval, which is close to the 95% that would be predicted assuming eGFR is approximately normally distributed.</w:t>
      </w:r>
    </w:p>
    <w:p w14:paraId="15DD26B4" w14:textId="77777777" w:rsidR="0025120B" w:rsidRDefault="0025120B" w:rsidP="0025120B">
      <w:pPr>
        <w:contextualSpacing/>
      </w:pPr>
    </w:p>
    <w:p w14:paraId="6022947D" w14:textId="28AD0F3D" w:rsidR="0025120B" w:rsidRDefault="0025120B" w:rsidP="0025120B">
      <w:pPr>
        <w:contextualSpacing/>
      </w:pPr>
      <w:r>
        <w:t xml:space="preserve">We can construct a 95% confidence interval for eGFR within the two sub-populations of serum K using the t-distribution since we assume eGFR is normally distributed but do not know the population variance. For low-normal serum K, the 95% CI is (88.54, 96.06). </w:t>
      </w:r>
      <w:r w:rsidRPr="000E2466">
        <w:t xml:space="preserve">We are 95% confident that the true mean for eGFR in patients with low-normal serum K levels is between </w:t>
      </w:r>
      <w:r>
        <w:t>88.54</w:t>
      </w:r>
      <w:r w:rsidRPr="000E2466">
        <w:t xml:space="preserve"> and 9</w:t>
      </w:r>
      <w:r>
        <w:t>6.06</w:t>
      </w:r>
      <w:r w:rsidRPr="000E2466">
        <w:t>.</w:t>
      </w:r>
      <w:r>
        <w:t xml:space="preserve"> For normal serum K, the 95% CI is (83.02, 90.69). </w:t>
      </w:r>
      <w:r w:rsidRPr="006A364F">
        <w:t>We are 95% confident that the true mean for eGFR in patients with normal serum K levels is between 8</w:t>
      </w:r>
      <w:r>
        <w:t>3.02</w:t>
      </w:r>
      <w:r w:rsidRPr="006A364F">
        <w:t xml:space="preserve"> and </w:t>
      </w:r>
      <w:r>
        <w:t>90.69</w:t>
      </w:r>
      <w:r w:rsidRPr="006A364F">
        <w:t>.</w:t>
      </w:r>
    </w:p>
    <w:p w14:paraId="122E5DBF" w14:textId="17CF1FE9" w:rsidR="002004D2" w:rsidRDefault="002004D2" w:rsidP="0025120B">
      <w:pPr>
        <w:contextualSpacing/>
      </w:pPr>
    </w:p>
    <w:p w14:paraId="0007F7FA" w14:textId="2E5B920E" w:rsidR="002004D2" w:rsidRPr="00C95DCD" w:rsidRDefault="002004D2" w:rsidP="0025120B">
      <w:pPr>
        <w:contextualSpacing/>
      </w:pPr>
      <w:r>
        <w:t xml:space="preserve">We can also </w:t>
      </w:r>
      <w:r w:rsidR="00C14451">
        <w:t>look at</w:t>
      </w:r>
      <w:r>
        <w:t xml:space="preserve"> the </w:t>
      </w:r>
      <w:r w:rsidR="00C14451">
        <w:t xml:space="preserve">95% confidence interval for the </w:t>
      </w:r>
      <w:r>
        <w:t>sub-populations of diet K for eGFR.</w:t>
      </w:r>
      <w:r w:rsidR="00C14451">
        <w:t xml:space="preserve"> For inadequate diet K intake, the 95% CI is </w:t>
      </w:r>
      <w:r w:rsidR="00DD7470">
        <w:t>(86.34, 93.08). Thus, we are 95% confident that the true mean for eGFR in patients with inadequate diet K intake is between 86.34 and 93.08. For borderline adequate diet K intake, the 95% CI is (</w:t>
      </w:r>
      <w:r w:rsidR="0010270C">
        <w:t>82.85, 92.11). We are 95% confident that the true mean for eGFR in patients with borderline adequate diet K intake is between 82.85 and 92.11. Finally</w:t>
      </w:r>
      <w:r w:rsidR="008A7489">
        <w:t>, the 95% CI for participants with adequate diet K intake is (28.95, 148.44).</w:t>
      </w:r>
      <w:r w:rsidR="000C46CF">
        <w:t xml:space="preserve"> We are 95% confident that the true mean for eGFR in patients with adequate diet K intake is between 28.95 and 148.44. </w:t>
      </w:r>
      <w:r w:rsidR="008A7489">
        <w:t xml:space="preserve">This confidence interval is very wide because </w:t>
      </w:r>
      <w:r w:rsidR="003E1422">
        <w:t xml:space="preserve">there are only 3 participants with adequate diet K intake. </w:t>
      </w:r>
      <w:r w:rsidR="00256111">
        <w:t>So, we comb</w:t>
      </w:r>
      <w:r w:rsidR="00A56383">
        <w:t>ine borderline adequate and adequate diet K intake into one group. The new 95% CI for this group is (</w:t>
      </w:r>
      <w:r w:rsidR="000C46CF">
        <w:t xml:space="preserve">83.00, 92.08). We are 95% confident </w:t>
      </w:r>
      <w:r w:rsidR="00A5247E">
        <w:t>that the true mean for eGFR in patients with borderline adequate or adequate diet K intake is between 83.00 and 92.08.</w:t>
      </w:r>
    </w:p>
    <w:p w14:paraId="2F92DB47" w14:textId="77777777" w:rsidR="0025120B" w:rsidRPr="0025120B" w:rsidRDefault="0025120B" w:rsidP="00E60874">
      <w:pPr>
        <w:rPr>
          <w:b/>
          <w:bCs/>
        </w:rPr>
      </w:pPr>
    </w:p>
    <w:p w14:paraId="615CB63D" w14:textId="7E52E2E7" w:rsidR="00BA19FF" w:rsidRDefault="00E60874" w:rsidP="00291BC4">
      <w:pPr>
        <w:pStyle w:val="Heading3"/>
        <w:numPr>
          <w:ilvl w:val="0"/>
          <w:numId w:val="0"/>
        </w:numPr>
        <w:ind w:left="720" w:hanging="720"/>
      </w:pPr>
      <w:r w:rsidRPr="00E60874">
        <w:t>Graphical Displays</w:t>
      </w:r>
    </w:p>
    <w:p w14:paraId="1E345AAE" w14:textId="070B8E3F" w:rsidR="001D1870" w:rsidRPr="00D34FA2" w:rsidRDefault="001D1870" w:rsidP="00AC127A">
      <w:pPr>
        <w:contextualSpacing/>
      </w:pPr>
      <w:r w:rsidRPr="00D34FA2">
        <w:rPr>
          <w:rFonts w:asciiTheme="minorHAnsi" w:hAnsiTheme="minorHAnsi"/>
          <w:noProof/>
        </w:rPr>
        <w:drawing>
          <wp:anchor distT="0" distB="0" distL="114300" distR="114300" simplePos="0" relativeHeight="251649024" behindDoc="1" locked="0" layoutInCell="1" allowOverlap="1" wp14:anchorId="7BD0B787" wp14:editId="21AF4565">
            <wp:simplePos x="0" y="0"/>
            <wp:positionH relativeFrom="margin">
              <wp:posOffset>171450</wp:posOffset>
            </wp:positionH>
            <wp:positionV relativeFrom="paragraph">
              <wp:posOffset>646430</wp:posOffset>
            </wp:positionV>
            <wp:extent cx="2990850" cy="2114550"/>
            <wp:effectExtent l="0" t="0" r="0" b="0"/>
            <wp:wrapTight wrapText="bothSides">
              <wp:wrapPolygon edited="0">
                <wp:start x="0" y="0"/>
                <wp:lineTo x="0" y="21405"/>
                <wp:lineTo x="21462" y="21405"/>
                <wp:lineTo x="21462" y="0"/>
                <wp:lineTo x="0" y="0"/>
              </wp:wrapPolygon>
            </wp:wrapTight>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l="7571" t="7292" r="7501" b="23334"/>
                    <a:stretch>
                      <a:fillRect/>
                    </a:stretch>
                  </pic:blipFill>
                  <pic:spPr bwMode="auto">
                    <a:xfrm>
                      <a:off x="0" y="0"/>
                      <a:ext cx="2990850" cy="2114550"/>
                    </a:xfrm>
                    <a:prstGeom prst="rect">
                      <a:avLst/>
                    </a:prstGeom>
                    <a:noFill/>
                  </pic:spPr>
                </pic:pic>
              </a:graphicData>
            </a:graphic>
            <wp14:sizeRelH relativeFrom="margin">
              <wp14:pctWidth>0</wp14:pctWidth>
            </wp14:sizeRelH>
            <wp14:sizeRelV relativeFrom="margin">
              <wp14:pctHeight>0</wp14:pctHeight>
            </wp14:sizeRelV>
          </wp:anchor>
        </w:drawing>
      </w:r>
      <w:r w:rsidRPr="00D34FA2">
        <w:t>Age: The two graphs below show that age is not normally distributed because there are participants from all age groups in the study. If age were normally distributed, there would be a lot of 40-60 year old participants and few young and old participants.</w:t>
      </w:r>
    </w:p>
    <w:p w14:paraId="59878C8B" w14:textId="274FEB22" w:rsidR="001D1870" w:rsidRDefault="001D1870" w:rsidP="001D1870">
      <w:pPr>
        <w:spacing w:after="0"/>
        <w:ind w:left="720"/>
        <w:contextualSpacing/>
        <w:rPr>
          <w:color w:val="00B050"/>
        </w:rPr>
      </w:pPr>
      <w:r>
        <w:rPr>
          <w:rFonts w:asciiTheme="minorHAnsi" w:hAnsiTheme="minorHAnsi"/>
          <w:noProof/>
        </w:rPr>
        <w:drawing>
          <wp:anchor distT="0" distB="0" distL="114300" distR="114300" simplePos="0" relativeHeight="251650048" behindDoc="1" locked="0" layoutInCell="1" allowOverlap="1" wp14:anchorId="111DA29E" wp14:editId="6011D61C">
            <wp:simplePos x="0" y="0"/>
            <wp:positionH relativeFrom="column">
              <wp:posOffset>3244850</wp:posOffset>
            </wp:positionH>
            <wp:positionV relativeFrom="paragraph">
              <wp:posOffset>90805</wp:posOffset>
            </wp:positionV>
            <wp:extent cx="2946400" cy="2496185"/>
            <wp:effectExtent l="0" t="0" r="6350" b="0"/>
            <wp:wrapTight wrapText="bothSides">
              <wp:wrapPolygon edited="0">
                <wp:start x="0" y="0"/>
                <wp:lineTo x="0" y="21430"/>
                <wp:lineTo x="21507" y="21430"/>
                <wp:lineTo x="21507" y="0"/>
                <wp:lineTo x="0" y="0"/>
              </wp:wrapPolygon>
            </wp:wrapTight>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t="4996" r="7706" b="4646"/>
                    <a:stretch>
                      <a:fillRect/>
                    </a:stretch>
                  </pic:blipFill>
                  <pic:spPr bwMode="auto">
                    <a:xfrm>
                      <a:off x="0" y="0"/>
                      <a:ext cx="2946400" cy="2496185"/>
                    </a:xfrm>
                    <a:prstGeom prst="rect">
                      <a:avLst/>
                    </a:prstGeom>
                    <a:noFill/>
                  </pic:spPr>
                </pic:pic>
              </a:graphicData>
            </a:graphic>
            <wp14:sizeRelH relativeFrom="margin">
              <wp14:pctWidth>0</wp14:pctWidth>
            </wp14:sizeRelH>
            <wp14:sizeRelV relativeFrom="margin">
              <wp14:pctHeight>0</wp14:pctHeight>
            </wp14:sizeRelV>
          </wp:anchor>
        </w:drawing>
      </w:r>
    </w:p>
    <w:p w14:paraId="40278757" w14:textId="77777777" w:rsidR="001D1870" w:rsidRDefault="001D1870" w:rsidP="001D1870">
      <w:pPr>
        <w:spacing w:after="0"/>
        <w:ind w:left="720"/>
        <w:contextualSpacing/>
        <w:rPr>
          <w:color w:val="00B050"/>
        </w:rPr>
      </w:pPr>
    </w:p>
    <w:p w14:paraId="477FDC16" w14:textId="77777777" w:rsidR="001D1870" w:rsidRPr="00AC127A" w:rsidRDefault="001D1870" w:rsidP="00AC127A">
      <w:pPr>
        <w:contextualSpacing/>
      </w:pPr>
      <w:r w:rsidRPr="00AC127A">
        <w:t>BMI: The graphs below show that BMI is not normally distributed but is actually right skewed. Most participants have a BMI between 25 and 35, but there are various participants with a BMI of over 40, even up to 70.</w:t>
      </w:r>
    </w:p>
    <w:p w14:paraId="0F2B1CC6" w14:textId="6917B406" w:rsidR="001D1870" w:rsidRDefault="001D1870" w:rsidP="001D1870">
      <w:pPr>
        <w:spacing w:after="0"/>
        <w:ind w:left="720"/>
        <w:contextualSpacing/>
        <w:rPr>
          <w:color w:val="00B050"/>
        </w:rPr>
      </w:pPr>
      <w:r>
        <w:rPr>
          <w:rFonts w:asciiTheme="minorHAnsi" w:hAnsiTheme="minorHAnsi"/>
          <w:noProof/>
        </w:rPr>
        <w:drawing>
          <wp:anchor distT="0" distB="0" distL="114300" distR="114300" simplePos="0" relativeHeight="251651072" behindDoc="1" locked="0" layoutInCell="1" allowOverlap="1" wp14:anchorId="38F44285" wp14:editId="227B23C3">
            <wp:simplePos x="0" y="0"/>
            <wp:positionH relativeFrom="column">
              <wp:posOffset>107950</wp:posOffset>
            </wp:positionH>
            <wp:positionV relativeFrom="paragraph">
              <wp:posOffset>7620</wp:posOffset>
            </wp:positionV>
            <wp:extent cx="3213100" cy="2289175"/>
            <wp:effectExtent l="0" t="0" r="6350" b="0"/>
            <wp:wrapTight wrapText="bothSides">
              <wp:wrapPolygon edited="0">
                <wp:start x="0" y="0"/>
                <wp:lineTo x="0" y="21390"/>
                <wp:lineTo x="21515" y="21390"/>
                <wp:lineTo x="21515" y="0"/>
                <wp:lineTo x="0" y="0"/>
              </wp:wrapPolygon>
            </wp:wrapTight>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l="8221" t="6563" r="7025" b="23662"/>
                    <a:stretch>
                      <a:fillRect/>
                    </a:stretch>
                  </pic:blipFill>
                  <pic:spPr bwMode="auto">
                    <a:xfrm>
                      <a:off x="0" y="0"/>
                      <a:ext cx="3213100" cy="228917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noProof/>
        </w:rPr>
        <w:drawing>
          <wp:anchor distT="0" distB="0" distL="114300" distR="114300" simplePos="0" relativeHeight="251652096" behindDoc="1" locked="0" layoutInCell="1" allowOverlap="1" wp14:anchorId="0DA8A7DC" wp14:editId="4C993D5E">
            <wp:simplePos x="0" y="0"/>
            <wp:positionH relativeFrom="column">
              <wp:posOffset>3321050</wp:posOffset>
            </wp:positionH>
            <wp:positionV relativeFrom="paragraph">
              <wp:posOffset>321310</wp:posOffset>
            </wp:positionV>
            <wp:extent cx="2806700" cy="2377440"/>
            <wp:effectExtent l="0" t="0" r="0" b="3810"/>
            <wp:wrapTight wrapText="bothSides">
              <wp:wrapPolygon edited="0">
                <wp:start x="0" y="0"/>
                <wp:lineTo x="0" y="21462"/>
                <wp:lineTo x="21405" y="21462"/>
                <wp:lineTo x="21405" y="0"/>
                <wp:lineTo x="0" y="0"/>
              </wp:wrapPolygon>
            </wp:wrapTight>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t="6563" r="9119" b="4491"/>
                    <a:stretch>
                      <a:fillRect/>
                    </a:stretch>
                  </pic:blipFill>
                  <pic:spPr bwMode="auto">
                    <a:xfrm>
                      <a:off x="0" y="0"/>
                      <a:ext cx="2806700" cy="2377440"/>
                    </a:xfrm>
                    <a:prstGeom prst="rect">
                      <a:avLst/>
                    </a:prstGeom>
                    <a:noFill/>
                  </pic:spPr>
                </pic:pic>
              </a:graphicData>
            </a:graphic>
            <wp14:sizeRelH relativeFrom="margin">
              <wp14:pctWidth>0</wp14:pctWidth>
            </wp14:sizeRelH>
            <wp14:sizeRelV relativeFrom="margin">
              <wp14:pctHeight>0</wp14:pctHeight>
            </wp14:sizeRelV>
          </wp:anchor>
        </w:drawing>
      </w:r>
    </w:p>
    <w:p w14:paraId="03FB972C" w14:textId="77777777" w:rsidR="001D1870" w:rsidRDefault="001D1870" w:rsidP="001D1870">
      <w:pPr>
        <w:spacing w:after="0"/>
        <w:ind w:left="720"/>
        <w:contextualSpacing/>
        <w:rPr>
          <w:color w:val="00B050"/>
        </w:rPr>
      </w:pPr>
    </w:p>
    <w:p w14:paraId="65E33226" w14:textId="77777777" w:rsidR="001D1870" w:rsidRDefault="001D1870" w:rsidP="001D1870">
      <w:pPr>
        <w:spacing w:after="0"/>
        <w:ind w:left="720"/>
        <w:contextualSpacing/>
        <w:rPr>
          <w:color w:val="00B050"/>
        </w:rPr>
      </w:pPr>
    </w:p>
    <w:p w14:paraId="5807BA5D" w14:textId="451217E5" w:rsidR="001D1870" w:rsidRPr="00AC127A" w:rsidRDefault="001D1870" w:rsidP="00AC127A">
      <w:pPr>
        <w:contextualSpacing/>
      </w:pPr>
      <w:r w:rsidRPr="00AC127A">
        <w:rPr>
          <w:noProof/>
        </w:rPr>
        <w:drawing>
          <wp:anchor distT="0" distB="0" distL="114300" distR="114300" simplePos="0" relativeHeight="251653120" behindDoc="1" locked="0" layoutInCell="1" allowOverlap="1" wp14:anchorId="1A3C5799" wp14:editId="1544EE74">
            <wp:simplePos x="0" y="0"/>
            <wp:positionH relativeFrom="column">
              <wp:posOffset>3378200</wp:posOffset>
            </wp:positionH>
            <wp:positionV relativeFrom="paragraph">
              <wp:posOffset>444500</wp:posOffset>
            </wp:positionV>
            <wp:extent cx="2336800" cy="1977390"/>
            <wp:effectExtent l="0" t="0" r="6350" b="3810"/>
            <wp:wrapTight wrapText="bothSides">
              <wp:wrapPolygon edited="0">
                <wp:start x="0" y="0"/>
                <wp:lineTo x="0" y="21434"/>
                <wp:lineTo x="21483" y="21434"/>
                <wp:lineTo x="21483"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t="7426" r="9418" b="3972"/>
                    <a:stretch>
                      <a:fillRect/>
                    </a:stretch>
                  </pic:blipFill>
                  <pic:spPr bwMode="auto">
                    <a:xfrm>
                      <a:off x="0" y="0"/>
                      <a:ext cx="2336800" cy="1977390"/>
                    </a:xfrm>
                    <a:prstGeom prst="rect">
                      <a:avLst/>
                    </a:prstGeom>
                    <a:noFill/>
                  </pic:spPr>
                </pic:pic>
              </a:graphicData>
            </a:graphic>
            <wp14:sizeRelH relativeFrom="margin">
              <wp14:pctWidth>0</wp14:pctWidth>
            </wp14:sizeRelH>
            <wp14:sizeRelV relativeFrom="margin">
              <wp14:pctHeight>0</wp14:pctHeight>
            </wp14:sizeRelV>
          </wp:anchor>
        </w:drawing>
      </w:r>
      <w:r w:rsidRPr="00AC127A">
        <w:rPr>
          <w:noProof/>
        </w:rPr>
        <w:drawing>
          <wp:anchor distT="0" distB="0" distL="114300" distR="114300" simplePos="0" relativeHeight="251654144" behindDoc="1" locked="0" layoutInCell="1" allowOverlap="1" wp14:anchorId="17F956A9" wp14:editId="68E53CB2">
            <wp:simplePos x="0" y="0"/>
            <wp:positionH relativeFrom="margin">
              <wp:posOffset>222250</wp:posOffset>
            </wp:positionH>
            <wp:positionV relativeFrom="paragraph">
              <wp:posOffset>577850</wp:posOffset>
            </wp:positionV>
            <wp:extent cx="2781300" cy="1939290"/>
            <wp:effectExtent l="0" t="0" r="0" b="3810"/>
            <wp:wrapTight wrapText="bothSides">
              <wp:wrapPolygon edited="0">
                <wp:start x="0" y="0"/>
                <wp:lineTo x="0" y="21430"/>
                <wp:lineTo x="21452" y="21430"/>
                <wp:lineTo x="21452" y="0"/>
                <wp:lineTo x="0" y="0"/>
              </wp:wrapPolygon>
            </wp:wrapTight>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l="7474" t="7426" r="6577" b="23317"/>
                    <a:stretch>
                      <a:fillRect/>
                    </a:stretch>
                  </pic:blipFill>
                  <pic:spPr bwMode="auto">
                    <a:xfrm>
                      <a:off x="0" y="0"/>
                      <a:ext cx="2781300" cy="1939290"/>
                    </a:xfrm>
                    <a:prstGeom prst="rect">
                      <a:avLst/>
                    </a:prstGeom>
                    <a:noFill/>
                  </pic:spPr>
                </pic:pic>
              </a:graphicData>
            </a:graphic>
            <wp14:sizeRelH relativeFrom="margin">
              <wp14:pctWidth>0</wp14:pctWidth>
            </wp14:sizeRelH>
            <wp14:sizeRelV relativeFrom="margin">
              <wp14:pctHeight>0</wp14:pctHeight>
            </wp14:sizeRelV>
          </wp:anchor>
        </w:drawing>
      </w:r>
      <w:r w:rsidRPr="00AC127A">
        <w:t>Serum K: The graphs below show that serum K is approximately normally distributed because it has the bell shaped curve with the most values between 3.75 and 4.25 and the frequency decreases as we get to the serum K values farther from the mean.</w:t>
      </w:r>
    </w:p>
    <w:p w14:paraId="3B856477" w14:textId="0ED5448D" w:rsidR="001D1870" w:rsidRPr="00AC127A" w:rsidRDefault="008C7F6A" w:rsidP="00AC127A">
      <w:pPr>
        <w:contextualSpacing/>
      </w:pPr>
      <w:r w:rsidRPr="00AC127A">
        <w:rPr>
          <w:noProof/>
        </w:rPr>
        <w:drawing>
          <wp:anchor distT="0" distB="0" distL="114300" distR="114300" simplePos="0" relativeHeight="251655168" behindDoc="1" locked="0" layoutInCell="1" allowOverlap="1" wp14:anchorId="537E4F36" wp14:editId="52EBB18A">
            <wp:simplePos x="0" y="0"/>
            <wp:positionH relativeFrom="column">
              <wp:posOffset>3270250</wp:posOffset>
            </wp:positionH>
            <wp:positionV relativeFrom="paragraph">
              <wp:posOffset>2657475</wp:posOffset>
            </wp:positionV>
            <wp:extent cx="2730500" cy="2070100"/>
            <wp:effectExtent l="0" t="0" r="0" b="6350"/>
            <wp:wrapTight wrapText="bothSides">
              <wp:wrapPolygon edited="0">
                <wp:start x="0" y="0"/>
                <wp:lineTo x="0" y="21467"/>
                <wp:lineTo x="21399" y="21467"/>
                <wp:lineTo x="21399" y="0"/>
                <wp:lineTo x="0" y="0"/>
              </wp:wrapPolygon>
            </wp:wrapTight>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t="7426" r="10313" b="13995"/>
                    <a:stretch>
                      <a:fillRect/>
                    </a:stretch>
                  </pic:blipFill>
                  <pic:spPr bwMode="auto">
                    <a:xfrm>
                      <a:off x="0" y="0"/>
                      <a:ext cx="2730500" cy="2070100"/>
                    </a:xfrm>
                    <a:prstGeom prst="rect">
                      <a:avLst/>
                    </a:prstGeom>
                    <a:noFill/>
                  </pic:spPr>
                </pic:pic>
              </a:graphicData>
            </a:graphic>
            <wp14:sizeRelH relativeFrom="margin">
              <wp14:pctWidth>0</wp14:pctWidth>
            </wp14:sizeRelH>
            <wp14:sizeRelV relativeFrom="margin">
              <wp14:pctHeight>0</wp14:pctHeight>
            </wp14:sizeRelV>
          </wp:anchor>
        </w:drawing>
      </w:r>
      <w:r w:rsidR="001D1870" w:rsidRPr="00AC127A">
        <w:t>Diet K: The two graphs below show that Diet K is almost approximately normal. The few outliers greater than 2500 make it difficult to state that Diet K is approximately normal. Disregarding those outliers, the variable looks to be approximately normally distributed.</w:t>
      </w:r>
    </w:p>
    <w:p w14:paraId="17B6F60A" w14:textId="208EC439" w:rsidR="008C7F6A" w:rsidRDefault="008C7F6A" w:rsidP="00AC127A">
      <w:pPr>
        <w:contextualSpacing/>
      </w:pPr>
      <w:r w:rsidRPr="00AC127A">
        <w:rPr>
          <w:noProof/>
        </w:rPr>
        <w:drawing>
          <wp:anchor distT="0" distB="0" distL="114300" distR="114300" simplePos="0" relativeHeight="251656192" behindDoc="1" locked="0" layoutInCell="1" allowOverlap="1" wp14:anchorId="2FB19ED7" wp14:editId="179935D6">
            <wp:simplePos x="0" y="0"/>
            <wp:positionH relativeFrom="column">
              <wp:posOffset>247650</wp:posOffset>
            </wp:positionH>
            <wp:positionV relativeFrom="paragraph">
              <wp:posOffset>92710</wp:posOffset>
            </wp:positionV>
            <wp:extent cx="2800350" cy="1972310"/>
            <wp:effectExtent l="0" t="0" r="0" b="8890"/>
            <wp:wrapTight wrapText="bothSides">
              <wp:wrapPolygon edited="0">
                <wp:start x="0" y="0"/>
                <wp:lineTo x="0" y="21489"/>
                <wp:lineTo x="21453" y="21489"/>
                <wp:lineTo x="21453" y="0"/>
                <wp:lineTo x="0" y="0"/>
              </wp:wrapPolygon>
            </wp:wrapTight>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l="7474" t="6737" r="5980" b="22798"/>
                    <a:stretch>
                      <a:fillRect/>
                    </a:stretch>
                  </pic:blipFill>
                  <pic:spPr bwMode="auto">
                    <a:xfrm>
                      <a:off x="0" y="0"/>
                      <a:ext cx="2800350" cy="1972310"/>
                    </a:xfrm>
                    <a:prstGeom prst="rect">
                      <a:avLst/>
                    </a:prstGeom>
                    <a:noFill/>
                  </pic:spPr>
                </pic:pic>
              </a:graphicData>
            </a:graphic>
            <wp14:sizeRelH relativeFrom="margin">
              <wp14:pctWidth>0</wp14:pctWidth>
            </wp14:sizeRelH>
            <wp14:sizeRelV relativeFrom="margin">
              <wp14:pctHeight>0</wp14:pctHeight>
            </wp14:sizeRelV>
          </wp:anchor>
        </w:drawing>
      </w:r>
    </w:p>
    <w:p w14:paraId="076C0B8A" w14:textId="7ECAB0CC" w:rsidR="001D1870" w:rsidRDefault="001D1870" w:rsidP="00AC127A">
      <w:pPr>
        <w:contextualSpacing/>
      </w:pPr>
      <w:r w:rsidRPr="00AC127A">
        <w:t>eGFR: The two graphs below show that eGFR is approximately normally distributed. The variable does not have the perfect bell-shaped curve, but it has a peak in the middle around 90-110 and the frequency decreases as it approaches the tails.</w:t>
      </w:r>
    </w:p>
    <w:p w14:paraId="5D5B5729" w14:textId="36BFAB85" w:rsidR="00122CE3" w:rsidRDefault="00C95DCD" w:rsidP="00AC127A">
      <w:pPr>
        <w:contextualSpacing/>
      </w:pPr>
      <w:r>
        <w:rPr>
          <w:rFonts w:asciiTheme="minorHAnsi" w:hAnsiTheme="minorHAnsi"/>
          <w:noProof/>
        </w:rPr>
        <w:drawing>
          <wp:anchor distT="0" distB="0" distL="114300" distR="114300" simplePos="0" relativeHeight="251657216" behindDoc="1" locked="0" layoutInCell="1" allowOverlap="1" wp14:anchorId="4C2757E0" wp14:editId="2D9CDACE">
            <wp:simplePos x="0" y="0"/>
            <wp:positionH relativeFrom="column">
              <wp:posOffset>3454400</wp:posOffset>
            </wp:positionH>
            <wp:positionV relativeFrom="paragraph">
              <wp:posOffset>76835</wp:posOffset>
            </wp:positionV>
            <wp:extent cx="2711450" cy="2012950"/>
            <wp:effectExtent l="0" t="0" r="0" b="6350"/>
            <wp:wrapTight wrapText="bothSides">
              <wp:wrapPolygon edited="0">
                <wp:start x="0" y="0"/>
                <wp:lineTo x="0" y="21464"/>
                <wp:lineTo x="21398" y="21464"/>
                <wp:lineTo x="21398"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t="6909" r="8221" b="14330"/>
                    <a:stretch>
                      <a:fillRect/>
                    </a:stretch>
                  </pic:blipFill>
                  <pic:spPr bwMode="auto">
                    <a:xfrm>
                      <a:off x="0" y="0"/>
                      <a:ext cx="2711450" cy="201295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noProof/>
        </w:rPr>
        <w:drawing>
          <wp:anchor distT="0" distB="0" distL="114300" distR="114300" simplePos="0" relativeHeight="251658240" behindDoc="1" locked="0" layoutInCell="1" allowOverlap="1" wp14:anchorId="1C6307F1" wp14:editId="7582E9F6">
            <wp:simplePos x="0" y="0"/>
            <wp:positionH relativeFrom="margin">
              <wp:align>left</wp:align>
            </wp:positionH>
            <wp:positionV relativeFrom="paragraph">
              <wp:posOffset>51435</wp:posOffset>
            </wp:positionV>
            <wp:extent cx="2895600" cy="2091055"/>
            <wp:effectExtent l="0" t="0" r="0" b="4445"/>
            <wp:wrapTight wrapText="bothSides">
              <wp:wrapPolygon edited="0">
                <wp:start x="0" y="0"/>
                <wp:lineTo x="0" y="21449"/>
                <wp:lineTo x="21458" y="21449"/>
                <wp:lineTo x="21458" y="0"/>
                <wp:lineTo x="0" y="0"/>
              </wp:wrapPolygon>
            </wp:wrapTight>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l="7773" t="5354" r="7175" b="23662"/>
                    <a:stretch>
                      <a:fillRect/>
                    </a:stretch>
                  </pic:blipFill>
                  <pic:spPr bwMode="auto">
                    <a:xfrm>
                      <a:off x="0" y="0"/>
                      <a:ext cx="2895600" cy="2091055"/>
                    </a:xfrm>
                    <a:prstGeom prst="rect">
                      <a:avLst/>
                    </a:prstGeom>
                    <a:noFill/>
                  </pic:spPr>
                </pic:pic>
              </a:graphicData>
            </a:graphic>
            <wp14:sizeRelH relativeFrom="margin">
              <wp14:pctWidth>0</wp14:pctWidth>
            </wp14:sizeRelH>
            <wp14:sizeRelV relativeFrom="margin">
              <wp14:pctHeight>0</wp14:pctHeight>
            </wp14:sizeRelV>
          </wp:anchor>
        </w:drawing>
      </w:r>
    </w:p>
    <w:p w14:paraId="4690F3C1" w14:textId="0311ADBC" w:rsidR="00122CE3" w:rsidRDefault="00122CE3" w:rsidP="00AC127A">
      <w:pPr>
        <w:contextualSpacing/>
      </w:pPr>
    </w:p>
    <w:p w14:paraId="67A05DFB" w14:textId="12399232" w:rsidR="00122CE3" w:rsidRDefault="00122CE3" w:rsidP="00AC127A">
      <w:pPr>
        <w:contextualSpacing/>
      </w:pPr>
    </w:p>
    <w:p w14:paraId="1F626F0F" w14:textId="62C4F8E6" w:rsidR="00122CE3" w:rsidRDefault="00122CE3" w:rsidP="00AC127A">
      <w:pPr>
        <w:contextualSpacing/>
      </w:pPr>
    </w:p>
    <w:p w14:paraId="4CB47981" w14:textId="67E429B9" w:rsidR="00122CE3" w:rsidRDefault="00122CE3" w:rsidP="00AC127A">
      <w:pPr>
        <w:contextualSpacing/>
      </w:pPr>
    </w:p>
    <w:p w14:paraId="7CF36832" w14:textId="799A7349" w:rsidR="00122CE3" w:rsidRDefault="00122CE3" w:rsidP="00AC127A">
      <w:pPr>
        <w:contextualSpacing/>
      </w:pPr>
    </w:p>
    <w:p w14:paraId="604B36BE" w14:textId="42F614A3" w:rsidR="00122CE3" w:rsidRDefault="00122CE3" w:rsidP="00AC127A">
      <w:pPr>
        <w:contextualSpacing/>
      </w:pPr>
    </w:p>
    <w:p w14:paraId="4CD7AD8E" w14:textId="6334BD6D" w:rsidR="00291BC4" w:rsidRPr="00485E6C" w:rsidRDefault="00291BC4" w:rsidP="00291BC4">
      <w:r w:rsidRPr="00485E6C">
        <w:t>Below we see the normal QQ plot and histogram for serum K in both those without CKD and those with CKD to check that they are normally distributed.</w:t>
      </w:r>
    </w:p>
    <w:p w14:paraId="092A0152" w14:textId="14D6B503" w:rsidR="00291BC4" w:rsidRDefault="00EB27C1" w:rsidP="00291BC4">
      <w:pPr>
        <w:pStyle w:val="ListParagraph"/>
        <w:ind w:left="1080"/>
        <w:rPr>
          <w:color w:val="00B050"/>
        </w:rPr>
      </w:pPr>
      <w:r>
        <w:rPr>
          <w:noProof/>
        </w:rPr>
        <w:drawing>
          <wp:anchor distT="0" distB="0" distL="114300" distR="114300" simplePos="0" relativeHeight="251660288" behindDoc="1" locked="0" layoutInCell="1" allowOverlap="1" wp14:anchorId="02E81A63" wp14:editId="7CAF7B60">
            <wp:simplePos x="0" y="0"/>
            <wp:positionH relativeFrom="margin">
              <wp:posOffset>3105150</wp:posOffset>
            </wp:positionH>
            <wp:positionV relativeFrom="paragraph">
              <wp:posOffset>4445</wp:posOffset>
            </wp:positionV>
            <wp:extent cx="2930525" cy="2395220"/>
            <wp:effectExtent l="0" t="0" r="3175" b="5080"/>
            <wp:wrapTight wrapText="bothSides">
              <wp:wrapPolygon edited="0">
                <wp:start x="0" y="0"/>
                <wp:lineTo x="0" y="21474"/>
                <wp:lineTo x="21483" y="21474"/>
                <wp:lineTo x="21483" y="0"/>
                <wp:lineTo x="0" y="0"/>
              </wp:wrapPolygon>
            </wp:wrapTight>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t="7465" r="4680" b="4343"/>
                    <a:stretch>
                      <a:fillRect/>
                    </a:stretch>
                  </pic:blipFill>
                  <pic:spPr bwMode="auto">
                    <a:xfrm>
                      <a:off x="0" y="0"/>
                      <a:ext cx="2930525" cy="23952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4F6E350" wp14:editId="4D2FDDF1">
            <wp:simplePos x="0" y="0"/>
            <wp:positionH relativeFrom="column">
              <wp:posOffset>-381000</wp:posOffset>
            </wp:positionH>
            <wp:positionV relativeFrom="paragraph">
              <wp:posOffset>4445</wp:posOffset>
            </wp:positionV>
            <wp:extent cx="2952750" cy="2480945"/>
            <wp:effectExtent l="0" t="0" r="0" b="0"/>
            <wp:wrapTight wrapText="bothSides">
              <wp:wrapPolygon edited="0">
                <wp:start x="0" y="0"/>
                <wp:lineTo x="0" y="21395"/>
                <wp:lineTo x="21461" y="21395"/>
                <wp:lineTo x="21461" y="0"/>
                <wp:lineTo x="0" y="0"/>
              </wp:wrapPolygon>
            </wp:wrapTight>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t="7182" r="8046" b="5344"/>
                    <a:stretch>
                      <a:fillRect/>
                    </a:stretch>
                  </pic:blipFill>
                  <pic:spPr bwMode="auto">
                    <a:xfrm>
                      <a:off x="0" y="0"/>
                      <a:ext cx="2952750" cy="2480945"/>
                    </a:xfrm>
                    <a:prstGeom prst="rect">
                      <a:avLst/>
                    </a:prstGeom>
                    <a:noFill/>
                  </pic:spPr>
                </pic:pic>
              </a:graphicData>
            </a:graphic>
            <wp14:sizeRelH relativeFrom="margin">
              <wp14:pctWidth>0</wp14:pctWidth>
            </wp14:sizeRelH>
            <wp14:sizeRelV relativeFrom="margin">
              <wp14:pctHeight>0</wp14:pctHeight>
            </wp14:sizeRelV>
          </wp:anchor>
        </w:drawing>
      </w:r>
    </w:p>
    <w:p w14:paraId="09E5E1D4" w14:textId="77E7E3CF" w:rsidR="00122CE3" w:rsidRDefault="00122CE3" w:rsidP="00AC127A">
      <w:pPr>
        <w:contextualSpacing/>
      </w:pPr>
    </w:p>
    <w:p w14:paraId="6F759729" w14:textId="7DEBBAA3" w:rsidR="00122CE3" w:rsidRDefault="00122CE3" w:rsidP="00AC127A">
      <w:pPr>
        <w:contextualSpacing/>
      </w:pPr>
    </w:p>
    <w:p w14:paraId="72352C54" w14:textId="77777777" w:rsidR="009B2DFE" w:rsidRDefault="009B2DFE" w:rsidP="00AC127A">
      <w:pPr>
        <w:contextualSpacing/>
      </w:pPr>
    </w:p>
    <w:p w14:paraId="7F91DE6B" w14:textId="77777777" w:rsidR="009B2DFE" w:rsidRDefault="009B2DFE" w:rsidP="00AC127A">
      <w:pPr>
        <w:contextualSpacing/>
      </w:pPr>
    </w:p>
    <w:p w14:paraId="418A3033" w14:textId="77777777" w:rsidR="009B2DFE" w:rsidRDefault="009B2DFE" w:rsidP="00AC127A">
      <w:pPr>
        <w:contextualSpacing/>
      </w:pPr>
    </w:p>
    <w:p w14:paraId="472D7DF3" w14:textId="77777777" w:rsidR="009B2DFE" w:rsidRDefault="009B2DFE" w:rsidP="00AC127A">
      <w:pPr>
        <w:contextualSpacing/>
      </w:pPr>
    </w:p>
    <w:p w14:paraId="079EE31C" w14:textId="77777777" w:rsidR="009B2DFE" w:rsidRDefault="009B2DFE" w:rsidP="00AC127A">
      <w:pPr>
        <w:contextualSpacing/>
      </w:pPr>
    </w:p>
    <w:p w14:paraId="166AB754" w14:textId="77777777" w:rsidR="009B2DFE" w:rsidRDefault="009B2DFE" w:rsidP="00AC127A">
      <w:pPr>
        <w:contextualSpacing/>
      </w:pPr>
    </w:p>
    <w:p w14:paraId="206212D8" w14:textId="2B11B543" w:rsidR="009B2DFE" w:rsidRDefault="009B2DFE" w:rsidP="00AC127A">
      <w:pPr>
        <w:contextualSpacing/>
      </w:pPr>
    </w:p>
    <w:p w14:paraId="6FBC096D" w14:textId="2A22E193" w:rsidR="009B2DFE" w:rsidRDefault="009B2DFE" w:rsidP="00AC127A">
      <w:pPr>
        <w:contextualSpacing/>
      </w:pPr>
    </w:p>
    <w:p w14:paraId="107221FC" w14:textId="17348212" w:rsidR="009B2DFE" w:rsidRDefault="00CD36D5" w:rsidP="00AC127A">
      <w:pPr>
        <w:contextualSpacing/>
      </w:pPr>
      <w:r>
        <w:rPr>
          <w:noProof/>
        </w:rPr>
        <w:drawing>
          <wp:anchor distT="0" distB="0" distL="114300" distR="114300" simplePos="0" relativeHeight="251661312" behindDoc="1" locked="0" layoutInCell="1" allowOverlap="1" wp14:anchorId="2B816D60" wp14:editId="10692B84">
            <wp:simplePos x="0" y="0"/>
            <wp:positionH relativeFrom="column">
              <wp:posOffset>-146050</wp:posOffset>
            </wp:positionH>
            <wp:positionV relativeFrom="paragraph">
              <wp:posOffset>173990</wp:posOffset>
            </wp:positionV>
            <wp:extent cx="2951480" cy="2476500"/>
            <wp:effectExtent l="0" t="0" r="1270" b="0"/>
            <wp:wrapTight wrapText="bothSides">
              <wp:wrapPolygon edited="0">
                <wp:start x="0" y="0"/>
                <wp:lineTo x="0" y="21434"/>
                <wp:lineTo x="21470" y="21434"/>
                <wp:lineTo x="21470" y="0"/>
                <wp:lineTo x="0" y="0"/>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7603" r="8044" b="5063"/>
                    <a:stretch>
                      <a:fillRect/>
                    </a:stretch>
                  </pic:blipFill>
                  <pic:spPr bwMode="auto">
                    <a:xfrm>
                      <a:off x="0" y="0"/>
                      <a:ext cx="2951480" cy="2476500"/>
                    </a:xfrm>
                    <a:prstGeom prst="rect">
                      <a:avLst/>
                    </a:prstGeom>
                    <a:noFill/>
                  </pic:spPr>
                </pic:pic>
              </a:graphicData>
            </a:graphic>
            <wp14:sizeRelH relativeFrom="page">
              <wp14:pctWidth>0</wp14:pctWidth>
            </wp14:sizeRelH>
            <wp14:sizeRelV relativeFrom="page">
              <wp14:pctHeight>0</wp14:pctHeight>
            </wp14:sizeRelV>
          </wp:anchor>
        </w:drawing>
      </w:r>
    </w:p>
    <w:p w14:paraId="481C5849" w14:textId="1348AFC9" w:rsidR="009B2DFE" w:rsidRDefault="00CD36D5" w:rsidP="00AC127A">
      <w:pPr>
        <w:contextualSpacing/>
      </w:pPr>
      <w:r>
        <w:rPr>
          <w:noProof/>
        </w:rPr>
        <w:drawing>
          <wp:anchor distT="0" distB="0" distL="114300" distR="114300" simplePos="0" relativeHeight="251662336" behindDoc="1" locked="0" layoutInCell="1" allowOverlap="1" wp14:anchorId="3DC5F91F" wp14:editId="5092E1F1">
            <wp:simplePos x="0" y="0"/>
            <wp:positionH relativeFrom="column">
              <wp:posOffset>3263900</wp:posOffset>
            </wp:positionH>
            <wp:positionV relativeFrom="paragraph">
              <wp:posOffset>25400</wp:posOffset>
            </wp:positionV>
            <wp:extent cx="2933700" cy="2393315"/>
            <wp:effectExtent l="0" t="0" r="0" b="6985"/>
            <wp:wrapTight wrapText="bothSides">
              <wp:wrapPolygon edited="0">
                <wp:start x="0" y="0"/>
                <wp:lineTo x="0" y="21491"/>
                <wp:lineTo x="21460" y="21491"/>
                <wp:lineTo x="21460" y="0"/>
                <wp:lineTo x="0" y="0"/>
              </wp:wrapPolygon>
            </wp:wrapTight>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7042" r="4057" b="4349"/>
                    <a:stretch>
                      <a:fillRect/>
                    </a:stretch>
                  </pic:blipFill>
                  <pic:spPr bwMode="auto">
                    <a:xfrm>
                      <a:off x="0" y="0"/>
                      <a:ext cx="2933700" cy="2393315"/>
                    </a:xfrm>
                    <a:prstGeom prst="rect">
                      <a:avLst/>
                    </a:prstGeom>
                    <a:noFill/>
                  </pic:spPr>
                </pic:pic>
              </a:graphicData>
            </a:graphic>
            <wp14:sizeRelH relativeFrom="page">
              <wp14:pctWidth>0</wp14:pctWidth>
            </wp14:sizeRelH>
            <wp14:sizeRelV relativeFrom="page">
              <wp14:pctHeight>0</wp14:pctHeight>
            </wp14:sizeRelV>
          </wp:anchor>
        </w:drawing>
      </w:r>
    </w:p>
    <w:p w14:paraId="55E4D0A2" w14:textId="77777777" w:rsidR="00CD36D5" w:rsidRDefault="00CD36D5" w:rsidP="00AC127A">
      <w:pPr>
        <w:contextualSpacing/>
      </w:pPr>
    </w:p>
    <w:p w14:paraId="0A2DB5DF" w14:textId="77777777" w:rsidR="00CD36D5" w:rsidRDefault="00CD36D5" w:rsidP="00AC127A">
      <w:pPr>
        <w:contextualSpacing/>
      </w:pPr>
    </w:p>
    <w:p w14:paraId="1A8DD372" w14:textId="77777777" w:rsidR="00CD36D5" w:rsidRDefault="00CD36D5" w:rsidP="00AC127A">
      <w:pPr>
        <w:contextualSpacing/>
      </w:pPr>
    </w:p>
    <w:p w14:paraId="60501BC5" w14:textId="77777777" w:rsidR="00CD36D5" w:rsidRDefault="00CD36D5" w:rsidP="00AC127A">
      <w:pPr>
        <w:contextualSpacing/>
      </w:pPr>
    </w:p>
    <w:p w14:paraId="2B8BDC29" w14:textId="77777777" w:rsidR="00CD36D5" w:rsidRDefault="00CD36D5" w:rsidP="00AC127A">
      <w:pPr>
        <w:contextualSpacing/>
      </w:pPr>
    </w:p>
    <w:p w14:paraId="588085A8" w14:textId="77777777" w:rsidR="00CD36D5" w:rsidRDefault="00CD36D5" w:rsidP="00AC127A">
      <w:pPr>
        <w:contextualSpacing/>
      </w:pPr>
    </w:p>
    <w:p w14:paraId="3B17E85A" w14:textId="77777777" w:rsidR="00CD36D5" w:rsidRDefault="00CD36D5" w:rsidP="00AC127A">
      <w:pPr>
        <w:contextualSpacing/>
      </w:pPr>
    </w:p>
    <w:p w14:paraId="7EA0D52A" w14:textId="77777777" w:rsidR="00CD36D5" w:rsidRDefault="00CD36D5" w:rsidP="00AC127A">
      <w:pPr>
        <w:contextualSpacing/>
      </w:pPr>
    </w:p>
    <w:p w14:paraId="62FEBA49" w14:textId="77777777" w:rsidR="00CD36D5" w:rsidRDefault="00CD36D5" w:rsidP="00AC127A">
      <w:pPr>
        <w:contextualSpacing/>
      </w:pPr>
    </w:p>
    <w:p w14:paraId="40F922CE" w14:textId="7B1EADCE" w:rsidR="00122CE3" w:rsidRPr="00655CF8" w:rsidRDefault="00655CF8" w:rsidP="00AC127A">
      <w:pPr>
        <w:contextualSpacing/>
      </w:pPr>
      <w:r w:rsidRPr="00655CF8">
        <w:t>Below we see the normal QQ plot and histogram for eGFR in both those low-normal serum K and those with normal serum K.</w:t>
      </w:r>
    </w:p>
    <w:p w14:paraId="4487859E" w14:textId="1D2DD161" w:rsidR="00122CE3" w:rsidRDefault="00CD36D5" w:rsidP="00AC127A">
      <w:pPr>
        <w:contextualSpacing/>
      </w:pPr>
      <w:r>
        <w:rPr>
          <w:noProof/>
        </w:rPr>
        <w:drawing>
          <wp:anchor distT="0" distB="0" distL="114300" distR="114300" simplePos="0" relativeHeight="251664384" behindDoc="0" locked="0" layoutInCell="1" allowOverlap="1" wp14:anchorId="580CBF0E" wp14:editId="43D33688">
            <wp:simplePos x="0" y="0"/>
            <wp:positionH relativeFrom="column">
              <wp:posOffset>3223260</wp:posOffset>
            </wp:positionH>
            <wp:positionV relativeFrom="paragraph">
              <wp:posOffset>36195</wp:posOffset>
            </wp:positionV>
            <wp:extent cx="3147970" cy="2444649"/>
            <wp:effectExtent l="0" t="0" r="0" b="0"/>
            <wp:wrapNone/>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pic:cNvPicPr>
                  </pic:nvPicPr>
                  <pic:blipFill rotWithShape="1">
                    <a:blip r:embed="rId27">
                      <a:extLst>
                        <a:ext uri="{28A0092B-C50C-407E-A947-70E740481C1C}">
                          <a14:useLocalDpi xmlns:a14="http://schemas.microsoft.com/office/drawing/2010/main" val="0"/>
                        </a:ext>
                      </a:extLst>
                    </a:blip>
                    <a:srcRect t="7127" b="4943"/>
                    <a:stretch/>
                  </pic:blipFill>
                  <pic:spPr bwMode="auto">
                    <a:xfrm>
                      <a:off x="0" y="0"/>
                      <a:ext cx="3147970" cy="24446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90ABAFF" wp14:editId="23D09DC2">
            <wp:simplePos x="0" y="0"/>
            <wp:positionH relativeFrom="column">
              <wp:posOffset>-82550</wp:posOffset>
            </wp:positionH>
            <wp:positionV relativeFrom="paragraph">
              <wp:posOffset>4445</wp:posOffset>
            </wp:positionV>
            <wp:extent cx="2971800" cy="2494658"/>
            <wp:effectExtent l="0" t="0" r="0" b="1270"/>
            <wp:wrapNone/>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pic:cNvPicPr>
                  </pic:nvPicPr>
                  <pic:blipFill rotWithShape="1">
                    <a:blip r:embed="rId28">
                      <a:extLst>
                        <a:ext uri="{28A0092B-C50C-407E-A947-70E740481C1C}">
                          <a14:useLocalDpi xmlns:a14="http://schemas.microsoft.com/office/drawing/2010/main" val="0"/>
                        </a:ext>
                      </a:extLst>
                    </a:blip>
                    <a:srcRect t="6724" r="7044" b="4942"/>
                    <a:stretch/>
                  </pic:blipFill>
                  <pic:spPr bwMode="auto">
                    <a:xfrm>
                      <a:off x="0" y="0"/>
                      <a:ext cx="2975828" cy="24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2AD08D" w14:textId="2C1783F3" w:rsidR="00122CE3" w:rsidRPr="00AC127A" w:rsidRDefault="00122CE3" w:rsidP="00AC127A">
      <w:pPr>
        <w:contextualSpacing/>
      </w:pPr>
    </w:p>
    <w:p w14:paraId="57036C99" w14:textId="7E264B88" w:rsidR="001D1870" w:rsidRDefault="001D1870" w:rsidP="001D1870">
      <w:pPr>
        <w:spacing w:after="0"/>
        <w:ind w:left="720"/>
        <w:contextualSpacing/>
        <w:rPr>
          <w:color w:val="00B050"/>
        </w:rPr>
      </w:pPr>
    </w:p>
    <w:p w14:paraId="263E5EFE" w14:textId="6156DCC6" w:rsidR="000F694A" w:rsidRDefault="00CD36D5" w:rsidP="00E60874">
      <w:pPr>
        <w:pStyle w:val="Heading3"/>
        <w:numPr>
          <w:ilvl w:val="0"/>
          <w:numId w:val="0"/>
        </w:numPr>
        <w:ind w:left="720" w:hanging="720"/>
      </w:pPr>
      <w:r>
        <w:rPr>
          <w:noProof/>
        </w:rPr>
        <w:drawing>
          <wp:anchor distT="0" distB="0" distL="114300" distR="114300" simplePos="0" relativeHeight="251666432" behindDoc="0" locked="0" layoutInCell="1" allowOverlap="1" wp14:anchorId="4A1B404F" wp14:editId="46C90FF8">
            <wp:simplePos x="0" y="0"/>
            <wp:positionH relativeFrom="column">
              <wp:posOffset>3187700</wp:posOffset>
            </wp:positionH>
            <wp:positionV relativeFrom="paragraph">
              <wp:posOffset>-431800</wp:posOffset>
            </wp:positionV>
            <wp:extent cx="2838450" cy="2287146"/>
            <wp:effectExtent l="0" t="0" r="0" b="0"/>
            <wp:wrapNone/>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pic:cNvPicPr>
                  </pic:nvPicPr>
                  <pic:blipFill rotWithShape="1">
                    <a:blip r:embed="rId29">
                      <a:extLst>
                        <a:ext uri="{28A0092B-C50C-407E-A947-70E740481C1C}">
                          <a14:useLocalDpi xmlns:a14="http://schemas.microsoft.com/office/drawing/2010/main" val="0"/>
                        </a:ext>
                      </a:extLst>
                    </a:blip>
                    <a:srcRect t="7502" r="2775" b="3826"/>
                    <a:stretch/>
                  </pic:blipFill>
                  <pic:spPr bwMode="auto">
                    <a:xfrm>
                      <a:off x="0" y="0"/>
                      <a:ext cx="2838450" cy="22871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7F04455" wp14:editId="010FB189">
            <wp:simplePos x="0" y="0"/>
            <wp:positionH relativeFrom="margin">
              <wp:align>left</wp:align>
            </wp:positionH>
            <wp:positionV relativeFrom="paragraph">
              <wp:posOffset>-425450</wp:posOffset>
            </wp:positionV>
            <wp:extent cx="2647950" cy="2235196"/>
            <wp:effectExtent l="0" t="0" r="0" b="0"/>
            <wp:wrapNone/>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pic:cNvPicPr>
                  </pic:nvPicPr>
                  <pic:blipFill rotWithShape="1">
                    <a:blip r:embed="rId30">
                      <a:extLst>
                        <a:ext uri="{28A0092B-C50C-407E-A947-70E740481C1C}">
                          <a14:useLocalDpi xmlns:a14="http://schemas.microsoft.com/office/drawing/2010/main" val="0"/>
                        </a:ext>
                      </a:extLst>
                    </a:blip>
                    <a:srcRect t="6783" r="7168" b="4499"/>
                    <a:stretch/>
                  </pic:blipFill>
                  <pic:spPr bwMode="auto">
                    <a:xfrm>
                      <a:off x="0" y="0"/>
                      <a:ext cx="2647950" cy="22351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28CB89" w14:textId="5C50228A" w:rsidR="000F694A" w:rsidRDefault="000F694A" w:rsidP="00E60874">
      <w:pPr>
        <w:pStyle w:val="Heading3"/>
        <w:numPr>
          <w:ilvl w:val="0"/>
          <w:numId w:val="0"/>
        </w:numPr>
        <w:ind w:left="720" w:hanging="720"/>
      </w:pPr>
    </w:p>
    <w:p w14:paraId="4DC438FF" w14:textId="00CEBFB4" w:rsidR="000F694A" w:rsidRDefault="000F694A" w:rsidP="00E60874">
      <w:pPr>
        <w:pStyle w:val="Heading3"/>
        <w:numPr>
          <w:ilvl w:val="0"/>
          <w:numId w:val="0"/>
        </w:numPr>
        <w:ind w:left="720" w:hanging="720"/>
      </w:pPr>
    </w:p>
    <w:p w14:paraId="45122664" w14:textId="146DBBA1" w:rsidR="000F694A" w:rsidRDefault="000F694A" w:rsidP="00E60874">
      <w:pPr>
        <w:pStyle w:val="Heading3"/>
        <w:numPr>
          <w:ilvl w:val="0"/>
          <w:numId w:val="0"/>
        </w:numPr>
        <w:ind w:left="720" w:hanging="720"/>
      </w:pPr>
    </w:p>
    <w:p w14:paraId="0F30EF18" w14:textId="00D0C38F" w:rsidR="000F694A" w:rsidRDefault="000F694A" w:rsidP="00E60874">
      <w:pPr>
        <w:pStyle w:val="Heading3"/>
        <w:numPr>
          <w:ilvl w:val="0"/>
          <w:numId w:val="0"/>
        </w:numPr>
        <w:ind w:left="720" w:hanging="720"/>
      </w:pPr>
    </w:p>
    <w:p w14:paraId="38BC6322" w14:textId="0960366C" w:rsidR="000F694A" w:rsidRDefault="000F694A" w:rsidP="00E60874">
      <w:pPr>
        <w:pStyle w:val="Heading3"/>
        <w:numPr>
          <w:ilvl w:val="0"/>
          <w:numId w:val="0"/>
        </w:numPr>
        <w:ind w:left="720" w:hanging="720"/>
      </w:pPr>
    </w:p>
    <w:p w14:paraId="2D6194AF" w14:textId="26F606D8" w:rsidR="00E60874" w:rsidRDefault="00E60874" w:rsidP="00E60874">
      <w:pPr>
        <w:pStyle w:val="Heading3"/>
        <w:numPr>
          <w:ilvl w:val="0"/>
          <w:numId w:val="0"/>
        </w:numPr>
        <w:ind w:left="720" w:hanging="720"/>
      </w:pPr>
      <w:r>
        <w:t>Table 1</w:t>
      </w:r>
    </w:p>
    <w:tbl>
      <w:tblPr>
        <w:tblStyle w:val="TableGrid"/>
        <w:tblW w:w="8910" w:type="dxa"/>
        <w:tblInd w:w="355" w:type="dxa"/>
        <w:tblBorders>
          <w:insideH w:val="none" w:sz="0" w:space="0" w:color="auto"/>
          <w:insideV w:val="none" w:sz="0" w:space="0" w:color="auto"/>
        </w:tblBorders>
        <w:tblLayout w:type="fixed"/>
        <w:tblLook w:val="04A0" w:firstRow="1" w:lastRow="0" w:firstColumn="1" w:lastColumn="0" w:noHBand="0" w:noVBand="1"/>
      </w:tblPr>
      <w:tblGrid>
        <w:gridCol w:w="2525"/>
        <w:gridCol w:w="1872"/>
        <w:gridCol w:w="1872"/>
        <w:gridCol w:w="1741"/>
        <w:gridCol w:w="900"/>
      </w:tblGrid>
      <w:tr w:rsidR="000F694A" w:rsidRPr="00A92193" w14:paraId="3548659A" w14:textId="77777777" w:rsidTr="00B57A1B">
        <w:tc>
          <w:tcPr>
            <w:tcW w:w="2525" w:type="dxa"/>
            <w:tcBorders>
              <w:top w:val="single" w:sz="4" w:space="0" w:color="auto"/>
              <w:bottom w:val="single" w:sz="4" w:space="0" w:color="auto"/>
            </w:tcBorders>
          </w:tcPr>
          <w:p w14:paraId="4531E406" w14:textId="77777777" w:rsidR="000F694A" w:rsidRPr="00A92193" w:rsidRDefault="000F694A" w:rsidP="00497A5B">
            <w:pPr>
              <w:rPr>
                <w:rFonts w:ascii="Arial" w:hAnsi="Arial" w:cs="Arial"/>
                <w:sz w:val="20"/>
                <w:szCs w:val="20"/>
              </w:rPr>
            </w:pPr>
          </w:p>
        </w:tc>
        <w:tc>
          <w:tcPr>
            <w:tcW w:w="1872" w:type="dxa"/>
            <w:tcBorders>
              <w:top w:val="single" w:sz="4" w:space="0" w:color="auto"/>
              <w:bottom w:val="single" w:sz="4" w:space="0" w:color="auto"/>
            </w:tcBorders>
          </w:tcPr>
          <w:p w14:paraId="2605A016" w14:textId="77777777" w:rsidR="000F694A" w:rsidRPr="00A92193" w:rsidRDefault="000F694A" w:rsidP="00497A5B">
            <w:pPr>
              <w:jc w:val="center"/>
              <w:rPr>
                <w:rFonts w:ascii="Arial" w:hAnsi="Arial" w:cs="Arial"/>
                <w:sz w:val="20"/>
                <w:szCs w:val="20"/>
              </w:rPr>
            </w:pPr>
            <w:r w:rsidRPr="00A92193">
              <w:rPr>
                <w:rFonts w:ascii="Arial" w:hAnsi="Arial" w:cs="Arial"/>
                <w:sz w:val="20"/>
                <w:szCs w:val="20"/>
              </w:rPr>
              <w:t>Overall</w:t>
            </w:r>
          </w:p>
        </w:tc>
        <w:tc>
          <w:tcPr>
            <w:tcW w:w="1872" w:type="dxa"/>
            <w:tcBorders>
              <w:top w:val="single" w:sz="4" w:space="0" w:color="auto"/>
              <w:bottom w:val="single" w:sz="4" w:space="0" w:color="auto"/>
            </w:tcBorders>
          </w:tcPr>
          <w:p w14:paraId="40DB20AB" w14:textId="77777777" w:rsidR="000F694A" w:rsidRPr="00A92193" w:rsidRDefault="000F694A" w:rsidP="00497A5B">
            <w:pPr>
              <w:jc w:val="center"/>
              <w:rPr>
                <w:rFonts w:ascii="Arial" w:hAnsi="Arial" w:cs="Arial"/>
                <w:sz w:val="20"/>
                <w:szCs w:val="20"/>
              </w:rPr>
            </w:pPr>
            <w:r>
              <w:rPr>
                <w:rFonts w:ascii="Arial" w:hAnsi="Arial" w:cs="Arial"/>
                <w:sz w:val="20"/>
                <w:szCs w:val="20"/>
              </w:rPr>
              <w:t>Low-Normal K</w:t>
            </w:r>
          </w:p>
          <w:p w14:paraId="31810E33" w14:textId="073321C5" w:rsidR="000F694A" w:rsidRPr="00A92193" w:rsidRDefault="000F694A" w:rsidP="00497A5B">
            <w:pPr>
              <w:jc w:val="center"/>
              <w:rPr>
                <w:rFonts w:ascii="Arial" w:hAnsi="Arial" w:cs="Arial"/>
                <w:sz w:val="20"/>
                <w:szCs w:val="20"/>
              </w:rPr>
            </w:pPr>
            <w:r w:rsidRPr="00A92193">
              <w:rPr>
                <w:rFonts w:ascii="Arial" w:hAnsi="Arial" w:cs="Arial"/>
                <w:sz w:val="20"/>
                <w:szCs w:val="20"/>
              </w:rPr>
              <w:t>(N=</w:t>
            </w:r>
            <w:r w:rsidR="00A941DC">
              <w:rPr>
                <w:rFonts w:ascii="Arial" w:hAnsi="Arial" w:cs="Arial"/>
                <w:sz w:val="20"/>
                <w:szCs w:val="20"/>
              </w:rPr>
              <w:t>137</w:t>
            </w:r>
            <w:r w:rsidRPr="00A92193">
              <w:rPr>
                <w:rFonts w:ascii="Arial" w:hAnsi="Arial" w:cs="Arial"/>
                <w:sz w:val="20"/>
                <w:szCs w:val="20"/>
              </w:rPr>
              <w:t>)</w:t>
            </w:r>
          </w:p>
        </w:tc>
        <w:tc>
          <w:tcPr>
            <w:tcW w:w="1741" w:type="dxa"/>
            <w:tcBorders>
              <w:top w:val="single" w:sz="4" w:space="0" w:color="auto"/>
              <w:bottom w:val="single" w:sz="4" w:space="0" w:color="auto"/>
            </w:tcBorders>
          </w:tcPr>
          <w:p w14:paraId="3F0A7858" w14:textId="77777777" w:rsidR="000F694A" w:rsidRPr="00A92193" w:rsidRDefault="000F694A" w:rsidP="00497A5B">
            <w:pPr>
              <w:jc w:val="center"/>
              <w:rPr>
                <w:rFonts w:ascii="Arial" w:hAnsi="Arial" w:cs="Arial"/>
                <w:sz w:val="20"/>
                <w:szCs w:val="20"/>
              </w:rPr>
            </w:pPr>
            <w:r>
              <w:rPr>
                <w:rFonts w:ascii="Arial" w:hAnsi="Arial" w:cs="Arial"/>
                <w:sz w:val="20"/>
                <w:szCs w:val="20"/>
              </w:rPr>
              <w:t>Normal K</w:t>
            </w:r>
          </w:p>
          <w:p w14:paraId="0FB79C31" w14:textId="7186953A" w:rsidR="000F694A" w:rsidRPr="00A92193" w:rsidRDefault="000F694A" w:rsidP="00497A5B">
            <w:pPr>
              <w:jc w:val="center"/>
              <w:rPr>
                <w:rFonts w:ascii="Arial" w:hAnsi="Arial" w:cs="Arial"/>
                <w:sz w:val="20"/>
                <w:szCs w:val="20"/>
              </w:rPr>
            </w:pPr>
            <w:r w:rsidRPr="00A92193">
              <w:rPr>
                <w:rFonts w:ascii="Arial" w:hAnsi="Arial" w:cs="Arial"/>
                <w:sz w:val="20"/>
                <w:szCs w:val="20"/>
              </w:rPr>
              <w:t>(N=</w:t>
            </w:r>
            <w:r w:rsidR="00A941DC">
              <w:rPr>
                <w:rFonts w:ascii="Arial" w:hAnsi="Arial" w:cs="Arial"/>
                <w:sz w:val="20"/>
                <w:szCs w:val="20"/>
              </w:rPr>
              <w:t>163</w:t>
            </w:r>
            <w:r w:rsidRPr="00A92193">
              <w:rPr>
                <w:rFonts w:ascii="Arial" w:hAnsi="Arial" w:cs="Arial"/>
                <w:sz w:val="20"/>
                <w:szCs w:val="20"/>
              </w:rPr>
              <w:t>)</w:t>
            </w:r>
          </w:p>
        </w:tc>
        <w:tc>
          <w:tcPr>
            <w:tcW w:w="900" w:type="dxa"/>
            <w:tcBorders>
              <w:top w:val="single" w:sz="4" w:space="0" w:color="auto"/>
              <w:bottom w:val="single" w:sz="4" w:space="0" w:color="auto"/>
            </w:tcBorders>
          </w:tcPr>
          <w:p w14:paraId="11EFBD93" w14:textId="77777777" w:rsidR="000F694A" w:rsidRPr="00A92193" w:rsidRDefault="000F694A" w:rsidP="00497A5B">
            <w:pPr>
              <w:jc w:val="right"/>
              <w:rPr>
                <w:rFonts w:ascii="Arial" w:hAnsi="Arial" w:cs="Arial"/>
                <w:sz w:val="20"/>
                <w:szCs w:val="20"/>
              </w:rPr>
            </w:pPr>
            <w:r w:rsidRPr="00A92193">
              <w:rPr>
                <w:rFonts w:ascii="Arial" w:hAnsi="Arial" w:cs="Arial"/>
                <w:sz w:val="20"/>
                <w:szCs w:val="20"/>
              </w:rPr>
              <w:t>P</w:t>
            </w:r>
          </w:p>
        </w:tc>
      </w:tr>
      <w:tr w:rsidR="000F694A" w:rsidRPr="00A92193" w14:paraId="5E1446A9" w14:textId="77777777" w:rsidTr="00B57A1B">
        <w:tc>
          <w:tcPr>
            <w:tcW w:w="2525" w:type="dxa"/>
            <w:tcBorders>
              <w:top w:val="single" w:sz="4" w:space="0" w:color="auto"/>
              <w:bottom w:val="single" w:sz="4" w:space="0" w:color="auto"/>
            </w:tcBorders>
          </w:tcPr>
          <w:p w14:paraId="356E9D70" w14:textId="77777777" w:rsidR="000F694A" w:rsidRPr="00A92193" w:rsidRDefault="000F694A" w:rsidP="00497A5B">
            <w:pPr>
              <w:rPr>
                <w:rFonts w:ascii="Arial" w:hAnsi="Arial" w:cs="Arial"/>
                <w:sz w:val="20"/>
                <w:szCs w:val="20"/>
              </w:rPr>
            </w:pPr>
            <w:r w:rsidRPr="00A92193">
              <w:rPr>
                <w:rFonts w:ascii="Arial" w:hAnsi="Arial" w:cs="Arial"/>
                <w:sz w:val="20"/>
                <w:szCs w:val="20"/>
              </w:rPr>
              <w:t>Age (years)</w:t>
            </w:r>
          </w:p>
        </w:tc>
        <w:tc>
          <w:tcPr>
            <w:tcW w:w="1872" w:type="dxa"/>
            <w:tcBorders>
              <w:top w:val="single" w:sz="4" w:space="0" w:color="auto"/>
              <w:bottom w:val="single" w:sz="4" w:space="0" w:color="auto"/>
            </w:tcBorders>
          </w:tcPr>
          <w:p w14:paraId="6F9A9904" w14:textId="52151286" w:rsidR="000F694A" w:rsidRPr="00A92193" w:rsidRDefault="00C266AF" w:rsidP="00497A5B">
            <w:pPr>
              <w:jc w:val="center"/>
              <w:rPr>
                <w:rFonts w:ascii="Arial" w:hAnsi="Arial" w:cs="Arial"/>
                <w:sz w:val="20"/>
                <w:szCs w:val="20"/>
              </w:rPr>
            </w:pPr>
            <w:r>
              <w:rPr>
                <w:rFonts w:ascii="Arial" w:hAnsi="Arial" w:cs="Arial"/>
                <w:sz w:val="20"/>
                <w:szCs w:val="20"/>
              </w:rPr>
              <w:t>52</w:t>
            </w:r>
            <w:r w:rsidR="000F694A">
              <w:rPr>
                <w:rFonts w:ascii="Arial" w:hAnsi="Arial" w:cs="Arial"/>
                <w:sz w:val="20"/>
                <w:szCs w:val="20"/>
              </w:rPr>
              <w:t xml:space="preserve"> (</w:t>
            </w:r>
            <w:r w:rsidR="00F01EEF">
              <w:rPr>
                <w:rFonts w:ascii="Arial" w:hAnsi="Arial" w:cs="Arial"/>
                <w:sz w:val="20"/>
                <w:szCs w:val="20"/>
              </w:rPr>
              <w:t>29</w:t>
            </w:r>
            <w:r w:rsidR="000F694A" w:rsidRPr="00A92193">
              <w:rPr>
                <w:rFonts w:ascii="Arial" w:hAnsi="Arial" w:cs="Arial"/>
                <w:sz w:val="20"/>
                <w:szCs w:val="20"/>
              </w:rPr>
              <w:t>)</w:t>
            </w:r>
          </w:p>
        </w:tc>
        <w:tc>
          <w:tcPr>
            <w:tcW w:w="1872" w:type="dxa"/>
            <w:tcBorders>
              <w:top w:val="single" w:sz="4" w:space="0" w:color="auto"/>
              <w:bottom w:val="single" w:sz="4" w:space="0" w:color="auto"/>
            </w:tcBorders>
          </w:tcPr>
          <w:p w14:paraId="18ED2BA9" w14:textId="61B53B45" w:rsidR="000F694A" w:rsidRPr="00A92193" w:rsidRDefault="000905A1" w:rsidP="00497A5B">
            <w:pPr>
              <w:jc w:val="center"/>
              <w:rPr>
                <w:rFonts w:ascii="Arial" w:hAnsi="Arial" w:cs="Arial"/>
                <w:sz w:val="20"/>
                <w:szCs w:val="20"/>
              </w:rPr>
            </w:pPr>
            <w:r>
              <w:rPr>
                <w:rFonts w:ascii="Arial" w:hAnsi="Arial" w:cs="Arial"/>
                <w:sz w:val="20"/>
                <w:szCs w:val="20"/>
              </w:rPr>
              <w:t>47</w:t>
            </w:r>
            <w:r w:rsidR="000F694A">
              <w:rPr>
                <w:rFonts w:ascii="Arial" w:hAnsi="Arial" w:cs="Arial"/>
                <w:sz w:val="20"/>
                <w:szCs w:val="20"/>
              </w:rPr>
              <w:t xml:space="preserve"> (</w:t>
            </w:r>
            <w:r>
              <w:rPr>
                <w:rFonts w:ascii="Arial" w:hAnsi="Arial" w:cs="Arial"/>
                <w:sz w:val="20"/>
                <w:szCs w:val="20"/>
              </w:rPr>
              <w:t>28</w:t>
            </w:r>
            <w:r w:rsidR="000F694A" w:rsidRPr="00A92193">
              <w:rPr>
                <w:rFonts w:ascii="Arial" w:hAnsi="Arial" w:cs="Arial"/>
                <w:sz w:val="20"/>
                <w:szCs w:val="20"/>
              </w:rPr>
              <w:t>)</w:t>
            </w:r>
          </w:p>
        </w:tc>
        <w:tc>
          <w:tcPr>
            <w:tcW w:w="1741" w:type="dxa"/>
            <w:tcBorders>
              <w:top w:val="single" w:sz="4" w:space="0" w:color="auto"/>
              <w:bottom w:val="single" w:sz="4" w:space="0" w:color="auto"/>
            </w:tcBorders>
          </w:tcPr>
          <w:p w14:paraId="5DB0B9F3" w14:textId="3ACB30D0" w:rsidR="000F694A" w:rsidRPr="00A92193" w:rsidRDefault="000905A1" w:rsidP="00497A5B">
            <w:pPr>
              <w:jc w:val="center"/>
              <w:rPr>
                <w:rFonts w:ascii="Arial" w:hAnsi="Arial" w:cs="Arial"/>
                <w:sz w:val="20"/>
                <w:szCs w:val="20"/>
              </w:rPr>
            </w:pPr>
            <w:r>
              <w:rPr>
                <w:rFonts w:ascii="Arial" w:hAnsi="Arial" w:cs="Arial"/>
                <w:sz w:val="20"/>
                <w:szCs w:val="20"/>
              </w:rPr>
              <w:t>55</w:t>
            </w:r>
            <w:r w:rsidR="000F694A">
              <w:rPr>
                <w:rFonts w:ascii="Arial" w:hAnsi="Arial" w:cs="Arial"/>
                <w:sz w:val="20"/>
                <w:szCs w:val="20"/>
              </w:rPr>
              <w:t xml:space="preserve"> (</w:t>
            </w:r>
            <w:r>
              <w:rPr>
                <w:rFonts w:ascii="Arial" w:hAnsi="Arial" w:cs="Arial"/>
                <w:sz w:val="20"/>
                <w:szCs w:val="20"/>
              </w:rPr>
              <w:t>29</w:t>
            </w:r>
            <w:r w:rsidR="000F694A" w:rsidRPr="00A92193">
              <w:rPr>
                <w:rFonts w:ascii="Arial" w:hAnsi="Arial" w:cs="Arial"/>
                <w:sz w:val="20"/>
                <w:szCs w:val="20"/>
              </w:rPr>
              <w:t>)</w:t>
            </w:r>
          </w:p>
        </w:tc>
        <w:tc>
          <w:tcPr>
            <w:tcW w:w="900" w:type="dxa"/>
            <w:tcBorders>
              <w:top w:val="single" w:sz="4" w:space="0" w:color="auto"/>
              <w:bottom w:val="single" w:sz="4" w:space="0" w:color="auto"/>
            </w:tcBorders>
          </w:tcPr>
          <w:p w14:paraId="5FDA8B06" w14:textId="5C955748" w:rsidR="000F694A" w:rsidRPr="00A92193" w:rsidRDefault="00BE15E3" w:rsidP="00497A5B">
            <w:pPr>
              <w:jc w:val="right"/>
              <w:rPr>
                <w:rFonts w:ascii="Arial" w:hAnsi="Arial" w:cs="Arial"/>
                <w:sz w:val="20"/>
                <w:szCs w:val="20"/>
              </w:rPr>
            </w:pPr>
            <w:r>
              <w:rPr>
                <w:rFonts w:ascii="Arial" w:hAnsi="Arial" w:cs="Arial"/>
                <w:sz w:val="20"/>
                <w:szCs w:val="20"/>
              </w:rPr>
              <w:t>0.04</w:t>
            </w:r>
            <w:r w:rsidR="00B57A1B">
              <w:rPr>
                <w:rFonts w:ascii="Arial" w:hAnsi="Arial" w:cs="Arial"/>
                <w:sz w:val="20"/>
                <w:szCs w:val="20"/>
              </w:rPr>
              <w:t>7</w:t>
            </w:r>
            <w:r w:rsidR="00D42194">
              <w:rPr>
                <w:rFonts w:ascii="Arial" w:hAnsi="Arial" w:cs="Arial"/>
                <w:sz w:val="20"/>
                <w:szCs w:val="20"/>
              </w:rPr>
              <w:t>*</w:t>
            </w:r>
          </w:p>
        </w:tc>
      </w:tr>
      <w:tr w:rsidR="000F694A" w:rsidRPr="00A92193" w14:paraId="12E1AF5D" w14:textId="77777777" w:rsidTr="00B57A1B">
        <w:tc>
          <w:tcPr>
            <w:tcW w:w="2525" w:type="dxa"/>
            <w:tcBorders>
              <w:top w:val="single" w:sz="4" w:space="0" w:color="auto"/>
              <w:bottom w:val="nil"/>
            </w:tcBorders>
          </w:tcPr>
          <w:p w14:paraId="4AE7A74C" w14:textId="77777777" w:rsidR="000F694A" w:rsidRPr="00A92193" w:rsidRDefault="000F694A" w:rsidP="00497A5B">
            <w:pPr>
              <w:rPr>
                <w:rFonts w:ascii="Arial" w:hAnsi="Arial" w:cs="Arial"/>
                <w:sz w:val="20"/>
                <w:szCs w:val="20"/>
              </w:rPr>
            </w:pPr>
            <w:r w:rsidRPr="00A92193">
              <w:rPr>
                <w:rFonts w:ascii="Arial" w:hAnsi="Arial" w:cs="Arial"/>
                <w:sz w:val="20"/>
                <w:szCs w:val="20"/>
              </w:rPr>
              <w:t>Sex</w:t>
            </w:r>
          </w:p>
        </w:tc>
        <w:tc>
          <w:tcPr>
            <w:tcW w:w="1872" w:type="dxa"/>
            <w:tcBorders>
              <w:top w:val="single" w:sz="4" w:space="0" w:color="auto"/>
              <w:bottom w:val="nil"/>
            </w:tcBorders>
          </w:tcPr>
          <w:p w14:paraId="3409E9A6" w14:textId="77777777" w:rsidR="000F694A" w:rsidRPr="00A92193" w:rsidRDefault="000F694A" w:rsidP="00497A5B">
            <w:pPr>
              <w:jc w:val="center"/>
              <w:rPr>
                <w:rFonts w:ascii="Arial" w:hAnsi="Arial" w:cs="Arial"/>
                <w:sz w:val="20"/>
                <w:szCs w:val="20"/>
              </w:rPr>
            </w:pPr>
          </w:p>
        </w:tc>
        <w:tc>
          <w:tcPr>
            <w:tcW w:w="1872" w:type="dxa"/>
            <w:tcBorders>
              <w:top w:val="single" w:sz="4" w:space="0" w:color="auto"/>
              <w:bottom w:val="nil"/>
            </w:tcBorders>
          </w:tcPr>
          <w:p w14:paraId="7B555360" w14:textId="77777777" w:rsidR="000F694A" w:rsidRPr="00A92193" w:rsidRDefault="000F694A" w:rsidP="00497A5B">
            <w:pPr>
              <w:jc w:val="center"/>
              <w:rPr>
                <w:rFonts w:ascii="Arial" w:hAnsi="Arial" w:cs="Arial"/>
                <w:sz w:val="20"/>
                <w:szCs w:val="20"/>
              </w:rPr>
            </w:pPr>
          </w:p>
        </w:tc>
        <w:tc>
          <w:tcPr>
            <w:tcW w:w="1741" w:type="dxa"/>
            <w:tcBorders>
              <w:top w:val="single" w:sz="4" w:space="0" w:color="auto"/>
              <w:bottom w:val="nil"/>
            </w:tcBorders>
          </w:tcPr>
          <w:p w14:paraId="136C946C" w14:textId="77777777" w:rsidR="000F694A" w:rsidRPr="00A92193" w:rsidRDefault="000F694A" w:rsidP="00497A5B">
            <w:pPr>
              <w:jc w:val="center"/>
              <w:rPr>
                <w:rFonts w:ascii="Arial" w:hAnsi="Arial" w:cs="Arial"/>
                <w:sz w:val="20"/>
                <w:szCs w:val="20"/>
              </w:rPr>
            </w:pPr>
          </w:p>
        </w:tc>
        <w:tc>
          <w:tcPr>
            <w:tcW w:w="900" w:type="dxa"/>
            <w:tcBorders>
              <w:top w:val="single" w:sz="4" w:space="0" w:color="auto"/>
              <w:bottom w:val="nil"/>
            </w:tcBorders>
          </w:tcPr>
          <w:p w14:paraId="4786A12A" w14:textId="0C8D2544" w:rsidR="000F694A" w:rsidRPr="00A92193" w:rsidRDefault="00226FA9" w:rsidP="00497A5B">
            <w:pPr>
              <w:jc w:val="right"/>
              <w:rPr>
                <w:rFonts w:ascii="Arial" w:hAnsi="Arial" w:cs="Arial"/>
                <w:sz w:val="20"/>
                <w:szCs w:val="20"/>
              </w:rPr>
            </w:pPr>
            <w:r>
              <w:rPr>
                <w:rFonts w:ascii="Arial" w:hAnsi="Arial" w:cs="Arial"/>
                <w:sz w:val="20"/>
                <w:szCs w:val="20"/>
              </w:rPr>
              <w:t>0.023</w:t>
            </w:r>
          </w:p>
        </w:tc>
      </w:tr>
      <w:tr w:rsidR="000F694A" w:rsidRPr="00A92193" w14:paraId="1A7EA86F" w14:textId="77777777" w:rsidTr="00B57A1B">
        <w:tc>
          <w:tcPr>
            <w:tcW w:w="2525" w:type="dxa"/>
            <w:tcBorders>
              <w:top w:val="nil"/>
              <w:bottom w:val="nil"/>
            </w:tcBorders>
          </w:tcPr>
          <w:p w14:paraId="771133DC" w14:textId="77777777" w:rsidR="000F694A" w:rsidRPr="00A92193" w:rsidRDefault="000F694A" w:rsidP="00497A5B">
            <w:pPr>
              <w:rPr>
                <w:rFonts w:ascii="Arial" w:hAnsi="Arial" w:cs="Arial"/>
                <w:sz w:val="20"/>
                <w:szCs w:val="20"/>
              </w:rPr>
            </w:pPr>
            <w:r w:rsidRPr="00A92193">
              <w:rPr>
                <w:rFonts w:ascii="Arial" w:hAnsi="Arial" w:cs="Arial"/>
                <w:sz w:val="20"/>
                <w:szCs w:val="20"/>
              </w:rPr>
              <w:t xml:space="preserve">    Female</w:t>
            </w:r>
          </w:p>
        </w:tc>
        <w:tc>
          <w:tcPr>
            <w:tcW w:w="1872" w:type="dxa"/>
            <w:tcBorders>
              <w:top w:val="nil"/>
              <w:bottom w:val="nil"/>
            </w:tcBorders>
          </w:tcPr>
          <w:p w14:paraId="69FF7E26" w14:textId="25BCB72F" w:rsidR="000F694A" w:rsidRPr="00A92193" w:rsidRDefault="0000352B" w:rsidP="00497A5B">
            <w:pPr>
              <w:jc w:val="center"/>
              <w:rPr>
                <w:rFonts w:ascii="Arial" w:hAnsi="Arial" w:cs="Arial"/>
                <w:sz w:val="20"/>
                <w:szCs w:val="20"/>
              </w:rPr>
            </w:pPr>
            <w:r>
              <w:rPr>
                <w:rFonts w:ascii="Arial" w:hAnsi="Arial" w:cs="Arial"/>
                <w:sz w:val="20"/>
                <w:szCs w:val="20"/>
              </w:rPr>
              <w:t>145</w:t>
            </w:r>
            <w:r w:rsidR="000F694A" w:rsidRPr="00755607">
              <w:rPr>
                <w:rFonts w:ascii="Arial" w:hAnsi="Arial" w:cs="Arial"/>
                <w:sz w:val="20"/>
                <w:szCs w:val="20"/>
              </w:rPr>
              <w:t xml:space="preserve"> </w:t>
            </w:r>
            <w:r w:rsidR="00C011D9">
              <w:rPr>
                <w:rFonts w:ascii="Arial" w:hAnsi="Arial" w:cs="Arial"/>
                <w:sz w:val="20"/>
                <w:szCs w:val="20"/>
              </w:rPr>
              <w:t>(48</w:t>
            </w:r>
            <w:r w:rsidR="000F694A" w:rsidRPr="00755607">
              <w:rPr>
                <w:rFonts w:ascii="Arial" w:hAnsi="Arial" w:cs="Arial"/>
                <w:sz w:val="20"/>
                <w:szCs w:val="20"/>
              </w:rPr>
              <w:t>)</w:t>
            </w:r>
          </w:p>
        </w:tc>
        <w:tc>
          <w:tcPr>
            <w:tcW w:w="1872" w:type="dxa"/>
            <w:tcBorders>
              <w:top w:val="nil"/>
              <w:bottom w:val="nil"/>
            </w:tcBorders>
          </w:tcPr>
          <w:p w14:paraId="09976222" w14:textId="4EE72B0E" w:rsidR="000F694A" w:rsidRPr="00A92193" w:rsidRDefault="0018326B" w:rsidP="00497A5B">
            <w:pPr>
              <w:jc w:val="center"/>
              <w:rPr>
                <w:rFonts w:ascii="Arial" w:hAnsi="Arial" w:cs="Arial"/>
                <w:sz w:val="20"/>
                <w:szCs w:val="20"/>
              </w:rPr>
            </w:pPr>
            <w:r>
              <w:rPr>
                <w:rFonts w:ascii="Arial" w:hAnsi="Arial" w:cs="Arial"/>
                <w:sz w:val="20"/>
                <w:szCs w:val="20"/>
              </w:rPr>
              <w:t>76</w:t>
            </w:r>
            <w:r w:rsidR="000F694A" w:rsidRPr="00755607">
              <w:rPr>
                <w:rFonts w:ascii="Arial" w:hAnsi="Arial" w:cs="Arial"/>
                <w:sz w:val="20"/>
                <w:szCs w:val="20"/>
              </w:rPr>
              <w:t xml:space="preserve"> </w:t>
            </w:r>
            <w:r w:rsidR="00B25B4C">
              <w:rPr>
                <w:rFonts w:ascii="Arial" w:hAnsi="Arial" w:cs="Arial"/>
                <w:sz w:val="20"/>
                <w:szCs w:val="20"/>
              </w:rPr>
              <w:t>(55</w:t>
            </w:r>
            <w:r w:rsidR="000F694A" w:rsidRPr="00755607">
              <w:rPr>
                <w:rFonts w:ascii="Arial" w:hAnsi="Arial" w:cs="Arial"/>
                <w:sz w:val="20"/>
                <w:szCs w:val="20"/>
              </w:rPr>
              <w:t>)</w:t>
            </w:r>
          </w:p>
        </w:tc>
        <w:tc>
          <w:tcPr>
            <w:tcW w:w="1741" w:type="dxa"/>
            <w:tcBorders>
              <w:top w:val="nil"/>
              <w:bottom w:val="nil"/>
            </w:tcBorders>
          </w:tcPr>
          <w:p w14:paraId="0F9C5C2A" w14:textId="0F5D390B" w:rsidR="000F694A" w:rsidRPr="00A92193" w:rsidRDefault="00B25B4C" w:rsidP="00497A5B">
            <w:pPr>
              <w:jc w:val="center"/>
              <w:rPr>
                <w:rFonts w:ascii="Arial" w:hAnsi="Arial" w:cs="Arial"/>
                <w:sz w:val="20"/>
                <w:szCs w:val="20"/>
              </w:rPr>
            </w:pPr>
            <w:r>
              <w:rPr>
                <w:rFonts w:ascii="Arial" w:hAnsi="Arial" w:cs="Arial"/>
                <w:sz w:val="20"/>
                <w:szCs w:val="20"/>
              </w:rPr>
              <w:t>69</w:t>
            </w:r>
            <w:r w:rsidR="000F694A" w:rsidRPr="00755607">
              <w:rPr>
                <w:rFonts w:ascii="Arial" w:hAnsi="Arial" w:cs="Arial"/>
                <w:sz w:val="20"/>
                <w:szCs w:val="20"/>
              </w:rPr>
              <w:t xml:space="preserve"> (</w:t>
            </w:r>
            <w:r>
              <w:rPr>
                <w:rFonts w:ascii="Arial" w:hAnsi="Arial" w:cs="Arial"/>
                <w:sz w:val="20"/>
                <w:szCs w:val="20"/>
              </w:rPr>
              <w:t>42</w:t>
            </w:r>
            <w:r w:rsidR="000F694A" w:rsidRPr="00755607">
              <w:rPr>
                <w:rFonts w:ascii="Arial" w:hAnsi="Arial" w:cs="Arial"/>
                <w:sz w:val="20"/>
                <w:szCs w:val="20"/>
              </w:rPr>
              <w:t>)</w:t>
            </w:r>
          </w:p>
        </w:tc>
        <w:tc>
          <w:tcPr>
            <w:tcW w:w="900" w:type="dxa"/>
            <w:tcBorders>
              <w:top w:val="nil"/>
              <w:bottom w:val="nil"/>
            </w:tcBorders>
          </w:tcPr>
          <w:p w14:paraId="7C88785E" w14:textId="77777777" w:rsidR="000F694A" w:rsidRPr="00A92193" w:rsidRDefault="000F694A" w:rsidP="00497A5B">
            <w:pPr>
              <w:jc w:val="right"/>
              <w:rPr>
                <w:rFonts w:ascii="Arial" w:hAnsi="Arial" w:cs="Arial"/>
                <w:sz w:val="20"/>
                <w:szCs w:val="20"/>
              </w:rPr>
            </w:pPr>
          </w:p>
        </w:tc>
      </w:tr>
      <w:tr w:rsidR="000F694A" w:rsidRPr="00A92193" w14:paraId="6F7C4CB8" w14:textId="77777777" w:rsidTr="00B57A1B">
        <w:tc>
          <w:tcPr>
            <w:tcW w:w="2525" w:type="dxa"/>
            <w:tcBorders>
              <w:top w:val="nil"/>
              <w:bottom w:val="single" w:sz="4" w:space="0" w:color="auto"/>
            </w:tcBorders>
          </w:tcPr>
          <w:p w14:paraId="08106E96" w14:textId="77777777" w:rsidR="000F694A" w:rsidRPr="00A92193" w:rsidRDefault="000F694A" w:rsidP="00497A5B">
            <w:pPr>
              <w:rPr>
                <w:rFonts w:ascii="Arial" w:hAnsi="Arial" w:cs="Arial"/>
                <w:sz w:val="20"/>
                <w:szCs w:val="20"/>
              </w:rPr>
            </w:pPr>
            <w:r w:rsidRPr="00A92193">
              <w:rPr>
                <w:rFonts w:ascii="Arial" w:hAnsi="Arial" w:cs="Arial"/>
                <w:sz w:val="20"/>
                <w:szCs w:val="20"/>
              </w:rPr>
              <w:t xml:space="preserve">    Male</w:t>
            </w:r>
          </w:p>
        </w:tc>
        <w:tc>
          <w:tcPr>
            <w:tcW w:w="1872" w:type="dxa"/>
            <w:tcBorders>
              <w:top w:val="nil"/>
              <w:bottom w:val="single" w:sz="4" w:space="0" w:color="auto"/>
            </w:tcBorders>
          </w:tcPr>
          <w:p w14:paraId="796F362C" w14:textId="02BAE5D0" w:rsidR="000F694A" w:rsidRPr="00A92193" w:rsidRDefault="0000352B" w:rsidP="00497A5B">
            <w:pPr>
              <w:jc w:val="center"/>
              <w:rPr>
                <w:rFonts w:ascii="Arial" w:hAnsi="Arial" w:cs="Arial"/>
                <w:sz w:val="20"/>
                <w:szCs w:val="20"/>
              </w:rPr>
            </w:pPr>
            <w:r>
              <w:rPr>
                <w:rFonts w:ascii="Arial" w:hAnsi="Arial" w:cs="Arial"/>
                <w:sz w:val="20"/>
                <w:szCs w:val="20"/>
              </w:rPr>
              <w:t>155</w:t>
            </w:r>
            <w:r w:rsidR="000F694A" w:rsidRPr="00755607">
              <w:rPr>
                <w:rFonts w:ascii="Arial" w:hAnsi="Arial" w:cs="Arial"/>
                <w:sz w:val="20"/>
                <w:szCs w:val="20"/>
              </w:rPr>
              <w:t xml:space="preserve"> (</w:t>
            </w:r>
            <w:r w:rsidR="00C011D9">
              <w:rPr>
                <w:rFonts w:ascii="Arial" w:hAnsi="Arial" w:cs="Arial"/>
                <w:sz w:val="20"/>
                <w:szCs w:val="20"/>
              </w:rPr>
              <w:t>52</w:t>
            </w:r>
            <w:r w:rsidR="000F694A" w:rsidRPr="00755607">
              <w:rPr>
                <w:rFonts w:ascii="Arial" w:hAnsi="Arial" w:cs="Arial"/>
                <w:sz w:val="20"/>
                <w:szCs w:val="20"/>
              </w:rPr>
              <w:t>)</w:t>
            </w:r>
          </w:p>
        </w:tc>
        <w:tc>
          <w:tcPr>
            <w:tcW w:w="1872" w:type="dxa"/>
            <w:tcBorders>
              <w:top w:val="nil"/>
              <w:bottom w:val="single" w:sz="4" w:space="0" w:color="auto"/>
            </w:tcBorders>
          </w:tcPr>
          <w:p w14:paraId="3A7E3357" w14:textId="5BC57290" w:rsidR="000F694A" w:rsidRPr="00A92193" w:rsidRDefault="0018326B" w:rsidP="00497A5B">
            <w:pPr>
              <w:jc w:val="center"/>
              <w:rPr>
                <w:rFonts w:ascii="Arial" w:hAnsi="Arial" w:cs="Arial"/>
                <w:sz w:val="20"/>
                <w:szCs w:val="20"/>
              </w:rPr>
            </w:pPr>
            <w:r>
              <w:rPr>
                <w:rFonts w:ascii="Arial" w:hAnsi="Arial" w:cs="Arial"/>
                <w:sz w:val="20"/>
                <w:szCs w:val="20"/>
              </w:rPr>
              <w:t>61</w:t>
            </w:r>
            <w:r w:rsidR="000F694A" w:rsidRPr="00755607">
              <w:rPr>
                <w:rFonts w:ascii="Arial" w:hAnsi="Arial" w:cs="Arial"/>
                <w:sz w:val="20"/>
                <w:szCs w:val="20"/>
              </w:rPr>
              <w:t xml:space="preserve"> (</w:t>
            </w:r>
            <w:r w:rsidR="00B25B4C">
              <w:rPr>
                <w:rFonts w:ascii="Arial" w:hAnsi="Arial" w:cs="Arial"/>
                <w:sz w:val="20"/>
                <w:szCs w:val="20"/>
              </w:rPr>
              <w:t>45</w:t>
            </w:r>
            <w:r w:rsidR="000F694A" w:rsidRPr="00755607">
              <w:rPr>
                <w:rFonts w:ascii="Arial" w:hAnsi="Arial" w:cs="Arial"/>
                <w:sz w:val="20"/>
                <w:szCs w:val="20"/>
              </w:rPr>
              <w:t>)</w:t>
            </w:r>
          </w:p>
        </w:tc>
        <w:tc>
          <w:tcPr>
            <w:tcW w:w="1741" w:type="dxa"/>
            <w:tcBorders>
              <w:top w:val="nil"/>
              <w:bottom w:val="single" w:sz="4" w:space="0" w:color="auto"/>
            </w:tcBorders>
          </w:tcPr>
          <w:p w14:paraId="1684661A" w14:textId="4AB268B3" w:rsidR="000F694A" w:rsidRPr="00A92193" w:rsidRDefault="00B25B4C" w:rsidP="00497A5B">
            <w:pPr>
              <w:jc w:val="center"/>
              <w:rPr>
                <w:rFonts w:ascii="Arial" w:hAnsi="Arial" w:cs="Arial"/>
                <w:sz w:val="20"/>
                <w:szCs w:val="20"/>
              </w:rPr>
            </w:pPr>
            <w:r>
              <w:rPr>
                <w:rFonts w:ascii="Arial" w:hAnsi="Arial" w:cs="Arial"/>
                <w:sz w:val="20"/>
                <w:szCs w:val="20"/>
              </w:rPr>
              <w:t>94</w:t>
            </w:r>
            <w:r w:rsidR="000F694A" w:rsidRPr="00755607">
              <w:rPr>
                <w:rFonts w:ascii="Arial" w:hAnsi="Arial" w:cs="Arial"/>
                <w:sz w:val="20"/>
                <w:szCs w:val="20"/>
              </w:rPr>
              <w:t xml:space="preserve"> (</w:t>
            </w:r>
            <w:r>
              <w:rPr>
                <w:rFonts w:ascii="Arial" w:hAnsi="Arial" w:cs="Arial"/>
                <w:sz w:val="20"/>
                <w:szCs w:val="20"/>
              </w:rPr>
              <w:t>58</w:t>
            </w:r>
            <w:r w:rsidR="000F694A" w:rsidRPr="00755607">
              <w:rPr>
                <w:rFonts w:ascii="Arial" w:hAnsi="Arial" w:cs="Arial"/>
                <w:sz w:val="20"/>
                <w:szCs w:val="20"/>
              </w:rPr>
              <w:t>)</w:t>
            </w:r>
          </w:p>
        </w:tc>
        <w:tc>
          <w:tcPr>
            <w:tcW w:w="900" w:type="dxa"/>
            <w:tcBorders>
              <w:top w:val="nil"/>
              <w:bottom w:val="single" w:sz="4" w:space="0" w:color="auto"/>
            </w:tcBorders>
          </w:tcPr>
          <w:p w14:paraId="704DB096" w14:textId="77777777" w:rsidR="000F694A" w:rsidRPr="00A92193" w:rsidRDefault="000F694A" w:rsidP="00497A5B">
            <w:pPr>
              <w:jc w:val="right"/>
              <w:rPr>
                <w:rFonts w:ascii="Arial" w:hAnsi="Arial" w:cs="Arial"/>
                <w:sz w:val="20"/>
                <w:szCs w:val="20"/>
              </w:rPr>
            </w:pPr>
          </w:p>
        </w:tc>
      </w:tr>
      <w:tr w:rsidR="000F694A" w:rsidRPr="00A92193" w14:paraId="6CCA1895" w14:textId="77777777" w:rsidTr="00B57A1B">
        <w:tc>
          <w:tcPr>
            <w:tcW w:w="2525" w:type="dxa"/>
            <w:tcBorders>
              <w:top w:val="single" w:sz="4" w:space="0" w:color="auto"/>
              <w:bottom w:val="nil"/>
            </w:tcBorders>
          </w:tcPr>
          <w:p w14:paraId="0E983425" w14:textId="77777777" w:rsidR="000F694A" w:rsidRPr="00A92193" w:rsidRDefault="000F694A" w:rsidP="00497A5B">
            <w:pPr>
              <w:rPr>
                <w:rFonts w:ascii="Arial" w:hAnsi="Arial" w:cs="Arial"/>
                <w:sz w:val="20"/>
                <w:szCs w:val="20"/>
              </w:rPr>
            </w:pPr>
            <w:r w:rsidRPr="00A92193">
              <w:rPr>
                <w:rFonts w:ascii="Arial" w:hAnsi="Arial" w:cs="Arial"/>
                <w:sz w:val="20"/>
                <w:szCs w:val="20"/>
              </w:rPr>
              <w:t>Income</w:t>
            </w:r>
          </w:p>
        </w:tc>
        <w:tc>
          <w:tcPr>
            <w:tcW w:w="1872" w:type="dxa"/>
            <w:tcBorders>
              <w:top w:val="single" w:sz="4" w:space="0" w:color="auto"/>
              <w:bottom w:val="nil"/>
            </w:tcBorders>
          </w:tcPr>
          <w:p w14:paraId="00152851" w14:textId="77777777" w:rsidR="000F694A" w:rsidRPr="00A92193" w:rsidRDefault="000F694A" w:rsidP="00497A5B">
            <w:pPr>
              <w:jc w:val="center"/>
              <w:rPr>
                <w:rFonts w:ascii="Arial" w:hAnsi="Arial" w:cs="Arial"/>
                <w:sz w:val="20"/>
                <w:szCs w:val="20"/>
              </w:rPr>
            </w:pPr>
          </w:p>
        </w:tc>
        <w:tc>
          <w:tcPr>
            <w:tcW w:w="1872" w:type="dxa"/>
            <w:tcBorders>
              <w:top w:val="single" w:sz="4" w:space="0" w:color="auto"/>
              <w:bottom w:val="nil"/>
            </w:tcBorders>
          </w:tcPr>
          <w:p w14:paraId="46B859BB" w14:textId="77777777" w:rsidR="000F694A" w:rsidRPr="00A92193" w:rsidRDefault="000F694A" w:rsidP="00497A5B">
            <w:pPr>
              <w:jc w:val="center"/>
              <w:rPr>
                <w:rFonts w:ascii="Arial" w:hAnsi="Arial" w:cs="Arial"/>
                <w:sz w:val="20"/>
                <w:szCs w:val="20"/>
              </w:rPr>
            </w:pPr>
          </w:p>
        </w:tc>
        <w:tc>
          <w:tcPr>
            <w:tcW w:w="1741" w:type="dxa"/>
            <w:tcBorders>
              <w:top w:val="single" w:sz="4" w:space="0" w:color="auto"/>
              <w:bottom w:val="nil"/>
            </w:tcBorders>
          </w:tcPr>
          <w:p w14:paraId="29573E84" w14:textId="77777777" w:rsidR="000F694A" w:rsidRPr="00A92193" w:rsidRDefault="000F694A" w:rsidP="00497A5B">
            <w:pPr>
              <w:jc w:val="center"/>
              <w:rPr>
                <w:rFonts w:ascii="Arial" w:hAnsi="Arial" w:cs="Arial"/>
                <w:sz w:val="20"/>
                <w:szCs w:val="20"/>
              </w:rPr>
            </w:pPr>
          </w:p>
        </w:tc>
        <w:tc>
          <w:tcPr>
            <w:tcW w:w="900" w:type="dxa"/>
            <w:tcBorders>
              <w:top w:val="single" w:sz="4" w:space="0" w:color="auto"/>
              <w:bottom w:val="nil"/>
            </w:tcBorders>
          </w:tcPr>
          <w:p w14:paraId="13061E6E" w14:textId="24A882F8" w:rsidR="000F694A" w:rsidRPr="00A92193" w:rsidRDefault="00A375A2" w:rsidP="00497A5B">
            <w:pPr>
              <w:jc w:val="right"/>
              <w:rPr>
                <w:rFonts w:ascii="Arial" w:hAnsi="Arial" w:cs="Arial"/>
                <w:sz w:val="20"/>
                <w:szCs w:val="20"/>
              </w:rPr>
            </w:pPr>
            <w:r>
              <w:rPr>
                <w:rFonts w:ascii="Arial" w:hAnsi="Arial" w:cs="Arial"/>
                <w:sz w:val="20"/>
                <w:szCs w:val="20"/>
              </w:rPr>
              <w:t>0.342</w:t>
            </w:r>
          </w:p>
        </w:tc>
      </w:tr>
      <w:tr w:rsidR="000F694A" w:rsidRPr="00A92193" w14:paraId="1191A6AC" w14:textId="77777777" w:rsidTr="00B57A1B">
        <w:tc>
          <w:tcPr>
            <w:tcW w:w="2525" w:type="dxa"/>
            <w:tcBorders>
              <w:top w:val="nil"/>
              <w:bottom w:val="nil"/>
            </w:tcBorders>
          </w:tcPr>
          <w:p w14:paraId="201DF5EE" w14:textId="77777777" w:rsidR="000F694A" w:rsidRPr="00A92193" w:rsidRDefault="000F694A" w:rsidP="00497A5B">
            <w:pPr>
              <w:rPr>
                <w:rFonts w:ascii="Arial" w:hAnsi="Arial" w:cs="Arial"/>
                <w:sz w:val="20"/>
                <w:szCs w:val="20"/>
              </w:rPr>
            </w:pPr>
            <w:r w:rsidRPr="00A92193">
              <w:rPr>
                <w:rFonts w:ascii="Arial" w:hAnsi="Arial" w:cs="Arial"/>
                <w:sz w:val="20"/>
                <w:szCs w:val="20"/>
              </w:rPr>
              <w:t xml:space="preserve">    </w:t>
            </w:r>
            <w:r>
              <w:rPr>
                <w:rFonts w:ascii="Arial" w:hAnsi="Arial" w:cs="Arial"/>
                <w:sz w:val="20"/>
                <w:szCs w:val="20"/>
              </w:rPr>
              <w:t>Under $20,000</w:t>
            </w:r>
          </w:p>
        </w:tc>
        <w:tc>
          <w:tcPr>
            <w:tcW w:w="1872" w:type="dxa"/>
            <w:tcBorders>
              <w:top w:val="nil"/>
              <w:bottom w:val="nil"/>
            </w:tcBorders>
          </w:tcPr>
          <w:p w14:paraId="38707138" w14:textId="6605CAAF" w:rsidR="000F694A" w:rsidRPr="00A92193" w:rsidRDefault="00632EE6" w:rsidP="00497A5B">
            <w:pPr>
              <w:jc w:val="center"/>
              <w:rPr>
                <w:rFonts w:ascii="Arial" w:hAnsi="Arial" w:cs="Arial"/>
                <w:sz w:val="20"/>
                <w:szCs w:val="20"/>
              </w:rPr>
            </w:pPr>
            <w:r>
              <w:rPr>
                <w:rFonts w:ascii="Arial" w:hAnsi="Arial" w:cs="Arial"/>
                <w:sz w:val="20"/>
                <w:szCs w:val="20"/>
              </w:rPr>
              <w:t>56</w:t>
            </w:r>
            <w:r w:rsidR="000F694A" w:rsidRPr="00CC48EF">
              <w:rPr>
                <w:rFonts w:ascii="Arial" w:hAnsi="Arial" w:cs="Arial"/>
                <w:sz w:val="20"/>
                <w:szCs w:val="20"/>
              </w:rPr>
              <w:t xml:space="preserve"> (</w:t>
            </w:r>
            <w:r w:rsidR="003F0268">
              <w:rPr>
                <w:rFonts w:ascii="Arial" w:hAnsi="Arial" w:cs="Arial"/>
                <w:sz w:val="20"/>
                <w:szCs w:val="20"/>
              </w:rPr>
              <w:t>20</w:t>
            </w:r>
            <w:r w:rsidR="000F694A" w:rsidRPr="00CC48EF">
              <w:rPr>
                <w:rFonts w:ascii="Arial" w:hAnsi="Arial" w:cs="Arial"/>
                <w:sz w:val="20"/>
                <w:szCs w:val="20"/>
              </w:rPr>
              <w:t>)</w:t>
            </w:r>
          </w:p>
        </w:tc>
        <w:tc>
          <w:tcPr>
            <w:tcW w:w="1872" w:type="dxa"/>
            <w:tcBorders>
              <w:top w:val="nil"/>
              <w:bottom w:val="nil"/>
            </w:tcBorders>
          </w:tcPr>
          <w:p w14:paraId="4CB44F4E" w14:textId="41E8CC12" w:rsidR="000F694A" w:rsidRPr="00A92193" w:rsidRDefault="00EC18FA" w:rsidP="00497A5B">
            <w:pPr>
              <w:jc w:val="center"/>
              <w:rPr>
                <w:rFonts w:ascii="Arial" w:hAnsi="Arial" w:cs="Arial"/>
                <w:sz w:val="20"/>
                <w:szCs w:val="20"/>
              </w:rPr>
            </w:pPr>
            <w:r>
              <w:rPr>
                <w:rFonts w:ascii="Arial" w:hAnsi="Arial" w:cs="Arial"/>
                <w:sz w:val="20"/>
                <w:szCs w:val="20"/>
              </w:rPr>
              <w:t>20</w:t>
            </w:r>
            <w:r w:rsidR="000F694A" w:rsidRPr="00CC48EF">
              <w:rPr>
                <w:rFonts w:ascii="Arial" w:hAnsi="Arial" w:cs="Arial"/>
                <w:sz w:val="20"/>
                <w:szCs w:val="20"/>
              </w:rPr>
              <w:t xml:space="preserve"> (</w:t>
            </w:r>
            <w:r>
              <w:rPr>
                <w:rFonts w:ascii="Arial" w:hAnsi="Arial" w:cs="Arial"/>
                <w:sz w:val="20"/>
                <w:szCs w:val="20"/>
              </w:rPr>
              <w:t>1</w:t>
            </w:r>
            <w:r w:rsidR="00E93990">
              <w:rPr>
                <w:rFonts w:ascii="Arial" w:hAnsi="Arial" w:cs="Arial"/>
                <w:sz w:val="20"/>
                <w:szCs w:val="20"/>
              </w:rPr>
              <w:t>6</w:t>
            </w:r>
            <w:r w:rsidR="000F694A" w:rsidRPr="00CC48EF">
              <w:rPr>
                <w:rFonts w:ascii="Arial" w:hAnsi="Arial" w:cs="Arial"/>
                <w:sz w:val="20"/>
                <w:szCs w:val="20"/>
              </w:rPr>
              <w:t>)</w:t>
            </w:r>
          </w:p>
        </w:tc>
        <w:tc>
          <w:tcPr>
            <w:tcW w:w="1741" w:type="dxa"/>
            <w:tcBorders>
              <w:top w:val="nil"/>
              <w:bottom w:val="nil"/>
            </w:tcBorders>
          </w:tcPr>
          <w:p w14:paraId="3C5334A2" w14:textId="49391CBB" w:rsidR="000F694A" w:rsidRPr="00A92193" w:rsidRDefault="007C1BE7" w:rsidP="00497A5B">
            <w:pPr>
              <w:jc w:val="center"/>
              <w:rPr>
                <w:rFonts w:ascii="Arial" w:hAnsi="Arial" w:cs="Arial"/>
                <w:sz w:val="20"/>
                <w:szCs w:val="20"/>
              </w:rPr>
            </w:pPr>
            <w:r>
              <w:rPr>
                <w:rFonts w:ascii="Arial" w:hAnsi="Arial" w:cs="Arial"/>
                <w:sz w:val="20"/>
                <w:szCs w:val="20"/>
              </w:rPr>
              <w:t>36</w:t>
            </w:r>
            <w:r w:rsidR="000F694A" w:rsidRPr="00CC48EF">
              <w:rPr>
                <w:rFonts w:ascii="Arial" w:hAnsi="Arial" w:cs="Arial"/>
                <w:sz w:val="20"/>
                <w:szCs w:val="20"/>
              </w:rPr>
              <w:t xml:space="preserve"> </w:t>
            </w:r>
            <w:r>
              <w:rPr>
                <w:rFonts w:ascii="Arial" w:hAnsi="Arial" w:cs="Arial"/>
                <w:sz w:val="20"/>
                <w:szCs w:val="20"/>
              </w:rPr>
              <w:t>(2</w:t>
            </w:r>
            <w:r w:rsidR="00FE4346">
              <w:rPr>
                <w:rFonts w:ascii="Arial" w:hAnsi="Arial" w:cs="Arial"/>
                <w:sz w:val="20"/>
                <w:szCs w:val="20"/>
              </w:rPr>
              <w:t>4</w:t>
            </w:r>
            <w:r w:rsidR="000F694A" w:rsidRPr="00CC48EF">
              <w:rPr>
                <w:rFonts w:ascii="Arial" w:hAnsi="Arial" w:cs="Arial"/>
                <w:sz w:val="20"/>
                <w:szCs w:val="20"/>
              </w:rPr>
              <w:t>)</w:t>
            </w:r>
          </w:p>
        </w:tc>
        <w:tc>
          <w:tcPr>
            <w:tcW w:w="900" w:type="dxa"/>
            <w:tcBorders>
              <w:top w:val="nil"/>
              <w:bottom w:val="nil"/>
            </w:tcBorders>
          </w:tcPr>
          <w:p w14:paraId="5F1707C3" w14:textId="77777777" w:rsidR="000F694A" w:rsidRPr="00A92193" w:rsidRDefault="000F694A" w:rsidP="00497A5B">
            <w:pPr>
              <w:jc w:val="right"/>
              <w:rPr>
                <w:rFonts w:ascii="Arial" w:hAnsi="Arial" w:cs="Arial"/>
                <w:sz w:val="20"/>
                <w:szCs w:val="20"/>
              </w:rPr>
            </w:pPr>
          </w:p>
        </w:tc>
      </w:tr>
      <w:tr w:rsidR="000F694A" w:rsidRPr="00A92193" w14:paraId="7848E0C5" w14:textId="77777777" w:rsidTr="00B57A1B">
        <w:tc>
          <w:tcPr>
            <w:tcW w:w="2525" w:type="dxa"/>
            <w:tcBorders>
              <w:top w:val="nil"/>
              <w:bottom w:val="nil"/>
            </w:tcBorders>
          </w:tcPr>
          <w:p w14:paraId="1BB3DE5E" w14:textId="77777777" w:rsidR="000F694A" w:rsidRPr="00A92193" w:rsidRDefault="000F694A" w:rsidP="00497A5B">
            <w:pPr>
              <w:rPr>
                <w:rFonts w:ascii="Arial" w:hAnsi="Arial" w:cs="Arial"/>
                <w:sz w:val="20"/>
                <w:szCs w:val="20"/>
              </w:rPr>
            </w:pPr>
            <w:r w:rsidRPr="00A92193">
              <w:rPr>
                <w:rFonts w:ascii="Arial" w:hAnsi="Arial" w:cs="Arial"/>
                <w:sz w:val="20"/>
                <w:szCs w:val="20"/>
              </w:rPr>
              <w:t xml:space="preserve">    </w:t>
            </w:r>
            <w:r>
              <w:rPr>
                <w:rFonts w:ascii="Arial" w:hAnsi="Arial" w:cs="Arial"/>
                <w:sz w:val="20"/>
                <w:szCs w:val="20"/>
              </w:rPr>
              <w:t>$20,000 to &lt;$45,000</w:t>
            </w:r>
          </w:p>
        </w:tc>
        <w:tc>
          <w:tcPr>
            <w:tcW w:w="1872" w:type="dxa"/>
            <w:tcBorders>
              <w:top w:val="nil"/>
              <w:bottom w:val="nil"/>
            </w:tcBorders>
          </w:tcPr>
          <w:p w14:paraId="5E66735E" w14:textId="5D60A313" w:rsidR="000F694A" w:rsidRPr="00A92193" w:rsidRDefault="00592FFF" w:rsidP="00497A5B">
            <w:pPr>
              <w:jc w:val="center"/>
              <w:rPr>
                <w:rFonts w:ascii="Arial" w:hAnsi="Arial" w:cs="Arial"/>
                <w:sz w:val="20"/>
                <w:szCs w:val="20"/>
              </w:rPr>
            </w:pPr>
            <w:r>
              <w:rPr>
                <w:rFonts w:ascii="Arial" w:hAnsi="Arial" w:cs="Arial"/>
                <w:sz w:val="20"/>
                <w:szCs w:val="20"/>
              </w:rPr>
              <w:t>75</w:t>
            </w:r>
            <w:r w:rsidR="000F694A" w:rsidRPr="00CC48EF">
              <w:rPr>
                <w:rFonts w:ascii="Arial" w:hAnsi="Arial" w:cs="Arial"/>
                <w:sz w:val="20"/>
                <w:szCs w:val="20"/>
              </w:rPr>
              <w:t xml:space="preserve"> (</w:t>
            </w:r>
            <w:r>
              <w:rPr>
                <w:rFonts w:ascii="Arial" w:hAnsi="Arial" w:cs="Arial"/>
                <w:sz w:val="20"/>
                <w:szCs w:val="20"/>
              </w:rPr>
              <w:t>2</w:t>
            </w:r>
            <w:r w:rsidR="003F0268">
              <w:rPr>
                <w:rFonts w:ascii="Arial" w:hAnsi="Arial" w:cs="Arial"/>
                <w:sz w:val="20"/>
                <w:szCs w:val="20"/>
              </w:rPr>
              <w:t>7</w:t>
            </w:r>
            <w:r w:rsidR="000F694A" w:rsidRPr="00CC48EF">
              <w:rPr>
                <w:rFonts w:ascii="Arial" w:hAnsi="Arial" w:cs="Arial"/>
                <w:sz w:val="20"/>
                <w:szCs w:val="20"/>
              </w:rPr>
              <w:t>)</w:t>
            </w:r>
          </w:p>
        </w:tc>
        <w:tc>
          <w:tcPr>
            <w:tcW w:w="1872" w:type="dxa"/>
            <w:tcBorders>
              <w:top w:val="nil"/>
              <w:bottom w:val="nil"/>
            </w:tcBorders>
          </w:tcPr>
          <w:p w14:paraId="1B64D855" w14:textId="10AE25C2" w:rsidR="000F694A" w:rsidRPr="00A92193" w:rsidRDefault="00B61AD7" w:rsidP="00497A5B">
            <w:pPr>
              <w:jc w:val="center"/>
              <w:rPr>
                <w:rFonts w:ascii="Arial" w:hAnsi="Arial" w:cs="Arial"/>
                <w:sz w:val="20"/>
                <w:szCs w:val="20"/>
              </w:rPr>
            </w:pPr>
            <w:r>
              <w:rPr>
                <w:rFonts w:ascii="Arial" w:hAnsi="Arial" w:cs="Arial"/>
                <w:sz w:val="20"/>
                <w:szCs w:val="20"/>
              </w:rPr>
              <w:t xml:space="preserve">32 </w:t>
            </w:r>
            <w:r w:rsidR="000F694A" w:rsidRPr="00CC48EF">
              <w:rPr>
                <w:rFonts w:ascii="Arial" w:hAnsi="Arial" w:cs="Arial"/>
                <w:sz w:val="20"/>
                <w:szCs w:val="20"/>
              </w:rPr>
              <w:t>(</w:t>
            </w:r>
            <w:r>
              <w:rPr>
                <w:rFonts w:ascii="Arial" w:hAnsi="Arial" w:cs="Arial"/>
                <w:sz w:val="20"/>
                <w:szCs w:val="20"/>
              </w:rPr>
              <w:t>2</w:t>
            </w:r>
            <w:r w:rsidR="00E93990">
              <w:rPr>
                <w:rFonts w:ascii="Arial" w:hAnsi="Arial" w:cs="Arial"/>
                <w:sz w:val="20"/>
                <w:szCs w:val="20"/>
              </w:rPr>
              <w:t>6</w:t>
            </w:r>
            <w:r w:rsidR="000F694A" w:rsidRPr="00CC48EF">
              <w:rPr>
                <w:rFonts w:ascii="Arial" w:hAnsi="Arial" w:cs="Arial"/>
                <w:sz w:val="20"/>
                <w:szCs w:val="20"/>
              </w:rPr>
              <w:t>)</w:t>
            </w:r>
          </w:p>
        </w:tc>
        <w:tc>
          <w:tcPr>
            <w:tcW w:w="1741" w:type="dxa"/>
            <w:tcBorders>
              <w:top w:val="nil"/>
              <w:bottom w:val="nil"/>
            </w:tcBorders>
          </w:tcPr>
          <w:p w14:paraId="06CC0009" w14:textId="14336D07" w:rsidR="000F694A" w:rsidRPr="00A92193" w:rsidRDefault="007C1BE7" w:rsidP="00497A5B">
            <w:pPr>
              <w:jc w:val="center"/>
              <w:rPr>
                <w:rFonts w:ascii="Arial" w:hAnsi="Arial" w:cs="Arial"/>
                <w:sz w:val="20"/>
                <w:szCs w:val="20"/>
              </w:rPr>
            </w:pPr>
            <w:r>
              <w:rPr>
                <w:rFonts w:ascii="Arial" w:hAnsi="Arial" w:cs="Arial"/>
                <w:sz w:val="20"/>
                <w:szCs w:val="20"/>
              </w:rPr>
              <w:t>43</w:t>
            </w:r>
            <w:r w:rsidR="000F694A" w:rsidRPr="00CC48EF">
              <w:rPr>
                <w:rFonts w:ascii="Arial" w:hAnsi="Arial" w:cs="Arial"/>
                <w:sz w:val="20"/>
                <w:szCs w:val="20"/>
              </w:rPr>
              <w:t xml:space="preserve"> (</w:t>
            </w:r>
            <w:r>
              <w:rPr>
                <w:rFonts w:ascii="Arial" w:hAnsi="Arial" w:cs="Arial"/>
                <w:sz w:val="20"/>
                <w:szCs w:val="20"/>
              </w:rPr>
              <w:t>2</w:t>
            </w:r>
            <w:r w:rsidR="00FE4346">
              <w:rPr>
                <w:rFonts w:ascii="Arial" w:hAnsi="Arial" w:cs="Arial"/>
                <w:sz w:val="20"/>
                <w:szCs w:val="20"/>
              </w:rPr>
              <w:t>8</w:t>
            </w:r>
            <w:r w:rsidR="000F694A" w:rsidRPr="00CC48EF">
              <w:rPr>
                <w:rFonts w:ascii="Arial" w:hAnsi="Arial" w:cs="Arial"/>
                <w:sz w:val="20"/>
                <w:szCs w:val="20"/>
              </w:rPr>
              <w:t>)</w:t>
            </w:r>
          </w:p>
        </w:tc>
        <w:tc>
          <w:tcPr>
            <w:tcW w:w="900" w:type="dxa"/>
            <w:tcBorders>
              <w:top w:val="nil"/>
              <w:bottom w:val="nil"/>
            </w:tcBorders>
          </w:tcPr>
          <w:p w14:paraId="5B2A13DD" w14:textId="77777777" w:rsidR="000F694A" w:rsidRPr="00A92193" w:rsidRDefault="000F694A" w:rsidP="00497A5B">
            <w:pPr>
              <w:jc w:val="right"/>
              <w:rPr>
                <w:rFonts w:ascii="Arial" w:hAnsi="Arial" w:cs="Arial"/>
                <w:sz w:val="20"/>
                <w:szCs w:val="20"/>
              </w:rPr>
            </w:pPr>
          </w:p>
        </w:tc>
      </w:tr>
      <w:tr w:rsidR="000F694A" w:rsidRPr="00A92193" w14:paraId="1FA355C5" w14:textId="77777777" w:rsidTr="00B57A1B">
        <w:tc>
          <w:tcPr>
            <w:tcW w:w="2525" w:type="dxa"/>
            <w:tcBorders>
              <w:top w:val="nil"/>
              <w:bottom w:val="nil"/>
            </w:tcBorders>
          </w:tcPr>
          <w:p w14:paraId="1EE3DD74" w14:textId="77777777" w:rsidR="000F694A" w:rsidRPr="00A92193" w:rsidRDefault="000F694A" w:rsidP="00497A5B">
            <w:pPr>
              <w:rPr>
                <w:rFonts w:ascii="Arial" w:hAnsi="Arial" w:cs="Arial"/>
                <w:sz w:val="20"/>
                <w:szCs w:val="20"/>
              </w:rPr>
            </w:pPr>
            <w:r>
              <w:rPr>
                <w:rFonts w:ascii="Arial" w:hAnsi="Arial" w:cs="Arial"/>
                <w:sz w:val="20"/>
                <w:szCs w:val="20"/>
              </w:rPr>
              <w:t xml:space="preserve">    $45,000 to &lt;$75,000</w:t>
            </w:r>
          </w:p>
        </w:tc>
        <w:tc>
          <w:tcPr>
            <w:tcW w:w="1872" w:type="dxa"/>
            <w:tcBorders>
              <w:top w:val="nil"/>
              <w:bottom w:val="nil"/>
            </w:tcBorders>
          </w:tcPr>
          <w:p w14:paraId="26B37698" w14:textId="0374170B" w:rsidR="000F694A" w:rsidRPr="00A92193" w:rsidRDefault="00592FFF" w:rsidP="00497A5B">
            <w:pPr>
              <w:jc w:val="center"/>
              <w:rPr>
                <w:rFonts w:ascii="Arial" w:hAnsi="Arial" w:cs="Arial"/>
                <w:sz w:val="20"/>
                <w:szCs w:val="20"/>
              </w:rPr>
            </w:pPr>
            <w:r>
              <w:rPr>
                <w:rFonts w:ascii="Arial" w:hAnsi="Arial" w:cs="Arial"/>
                <w:sz w:val="20"/>
                <w:szCs w:val="20"/>
              </w:rPr>
              <w:t>58</w:t>
            </w:r>
            <w:r w:rsidR="000F694A" w:rsidRPr="00CC48EF">
              <w:rPr>
                <w:rFonts w:ascii="Arial" w:hAnsi="Arial" w:cs="Arial"/>
                <w:sz w:val="20"/>
                <w:szCs w:val="20"/>
              </w:rPr>
              <w:t xml:space="preserve"> (</w:t>
            </w:r>
            <w:r w:rsidR="003F0268">
              <w:rPr>
                <w:rFonts w:ascii="Arial" w:hAnsi="Arial" w:cs="Arial"/>
                <w:sz w:val="20"/>
                <w:szCs w:val="20"/>
              </w:rPr>
              <w:t>21</w:t>
            </w:r>
            <w:r w:rsidR="000F694A" w:rsidRPr="00CC48EF">
              <w:rPr>
                <w:rFonts w:ascii="Arial" w:hAnsi="Arial" w:cs="Arial"/>
                <w:sz w:val="20"/>
                <w:szCs w:val="20"/>
              </w:rPr>
              <w:t>)</w:t>
            </w:r>
          </w:p>
        </w:tc>
        <w:tc>
          <w:tcPr>
            <w:tcW w:w="1872" w:type="dxa"/>
            <w:tcBorders>
              <w:top w:val="nil"/>
              <w:bottom w:val="nil"/>
            </w:tcBorders>
          </w:tcPr>
          <w:p w14:paraId="4DD97BAF" w14:textId="6ECA5D4F" w:rsidR="000F694A" w:rsidRPr="00A92193" w:rsidRDefault="00B61AD7" w:rsidP="00497A5B">
            <w:pPr>
              <w:jc w:val="center"/>
              <w:rPr>
                <w:rFonts w:ascii="Arial" w:hAnsi="Arial" w:cs="Arial"/>
                <w:sz w:val="20"/>
                <w:szCs w:val="20"/>
              </w:rPr>
            </w:pPr>
            <w:r>
              <w:rPr>
                <w:rFonts w:ascii="Arial" w:hAnsi="Arial" w:cs="Arial"/>
                <w:sz w:val="20"/>
                <w:szCs w:val="20"/>
              </w:rPr>
              <w:t>28</w:t>
            </w:r>
            <w:r w:rsidR="000F694A" w:rsidRPr="00CC48EF">
              <w:rPr>
                <w:rFonts w:ascii="Arial" w:hAnsi="Arial" w:cs="Arial"/>
                <w:sz w:val="20"/>
                <w:szCs w:val="20"/>
              </w:rPr>
              <w:t xml:space="preserve"> (</w:t>
            </w:r>
            <w:r>
              <w:rPr>
                <w:rFonts w:ascii="Arial" w:hAnsi="Arial" w:cs="Arial"/>
                <w:sz w:val="20"/>
                <w:szCs w:val="20"/>
              </w:rPr>
              <w:t>2</w:t>
            </w:r>
            <w:r w:rsidR="00185C35">
              <w:rPr>
                <w:rFonts w:ascii="Arial" w:hAnsi="Arial" w:cs="Arial"/>
                <w:sz w:val="20"/>
                <w:szCs w:val="20"/>
              </w:rPr>
              <w:t>2</w:t>
            </w:r>
            <w:r w:rsidR="000F694A" w:rsidRPr="00CC48EF">
              <w:rPr>
                <w:rFonts w:ascii="Arial" w:hAnsi="Arial" w:cs="Arial"/>
                <w:sz w:val="20"/>
                <w:szCs w:val="20"/>
              </w:rPr>
              <w:t>)</w:t>
            </w:r>
          </w:p>
        </w:tc>
        <w:tc>
          <w:tcPr>
            <w:tcW w:w="1741" w:type="dxa"/>
            <w:tcBorders>
              <w:top w:val="nil"/>
              <w:bottom w:val="nil"/>
            </w:tcBorders>
          </w:tcPr>
          <w:p w14:paraId="2B6AD9F1" w14:textId="6F5361CF" w:rsidR="000F694A" w:rsidRPr="00A92193" w:rsidRDefault="007C1BE7" w:rsidP="00497A5B">
            <w:pPr>
              <w:jc w:val="center"/>
              <w:rPr>
                <w:rFonts w:ascii="Arial" w:hAnsi="Arial" w:cs="Arial"/>
                <w:sz w:val="20"/>
                <w:szCs w:val="20"/>
              </w:rPr>
            </w:pPr>
            <w:r>
              <w:rPr>
                <w:rFonts w:ascii="Arial" w:hAnsi="Arial" w:cs="Arial"/>
                <w:sz w:val="20"/>
                <w:szCs w:val="20"/>
              </w:rPr>
              <w:t>30</w:t>
            </w:r>
            <w:r w:rsidR="000F694A" w:rsidRPr="00CC48EF">
              <w:rPr>
                <w:rFonts w:ascii="Arial" w:hAnsi="Arial" w:cs="Arial"/>
                <w:sz w:val="20"/>
                <w:szCs w:val="20"/>
              </w:rPr>
              <w:t xml:space="preserve"> (</w:t>
            </w:r>
            <w:r w:rsidR="00E93990">
              <w:rPr>
                <w:rFonts w:ascii="Arial" w:hAnsi="Arial" w:cs="Arial"/>
                <w:sz w:val="20"/>
                <w:szCs w:val="20"/>
              </w:rPr>
              <w:t>20</w:t>
            </w:r>
            <w:r w:rsidR="000F694A" w:rsidRPr="00CC48EF">
              <w:rPr>
                <w:rFonts w:ascii="Arial" w:hAnsi="Arial" w:cs="Arial"/>
                <w:sz w:val="20"/>
                <w:szCs w:val="20"/>
              </w:rPr>
              <w:t>)</w:t>
            </w:r>
          </w:p>
        </w:tc>
        <w:tc>
          <w:tcPr>
            <w:tcW w:w="900" w:type="dxa"/>
            <w:tcBorders>
              <w:top w:val="nil"/>
              <w:bottom w:val="nil"/>
            </w:tcBorders>
          </w:tcPr>
          <w:p w14:paraId="3D37C592" w14:textId="77777777" w:rsidR="000F694A" w:rsidRPr="00A92193" w:rsidRDefault="000F694A" w:rsidP="00497A5B">
            <w:pPr>
              <w:jc w:val="right"/>
              <w:rPr>
                <w:rFonts w:ascii="Arial" w:hAnsi="Arial" w:cs="Arial"/>
                <w:sz w:val="20"/>
                <w:szCs w:val="20"/>
              </w:rPr>
            </w:pPr>
          </w:p>
        </w:tc>
      </w:tr>
      <w:tr w:rsidR="000F694A" w:rsidRPr="00A92193" w14:paraId="1F04559C" w14:textId="77777777" w:rsidTr="00B57A1B">
        <w:tc>
          <w:tcPr>
            <w:tcW w:w="2525" w:type="dxa"/>
            <w:tcBorders>
              <w:top w:val="nil"/>
              <w:bottom w:val="nil"/>
            </w:tcBorders>
          </w:tcPr>
          <w:p w14:paraId="581E3757" w14:textId="77777777" w:rsidR="000F694A" w:rsidRDefault="000F694A" w:rsidP="00497A5B">
            <w:pPr>
              <w:rPr>
                <w:rFonts w:ascii="Arial" w:hAnsi="Arial" w:cs="Arial"/>
                <w:sz w:val="20"/>
                <w:szCs w:val="20"/>
              </w:rPr>
            </w:pPr>
            <w:r>
              <w:rPr>
                <w:rFonts w:ascii="Arial" w:hAnsi="Arial" w:cs="Arial"/>
                <w:sz w:val="20"/>
                <w:szCs w:val="20"/>
              </w:rPr>
              <w:t xml:space="preserve">    $75,000 and over</w:t>
            </w:r>
          </w:p>
        </w:tc>
        <w:tc>
          <w:tcPr>
            <w:tcW w:w="1872" w:type="dxa"/>
            <w:tcBorders>
              <w:top w:val="nil"/>
              <w:bottom w:val="nil"/>
            </w:tcBorders>
          </w:tcPr>
          <w:p w14:paraId="1A3DD71B" w14:textId="24C91656" w:rsidR="000F694A" w:rsidRPr="00CC48EF" w:rsidRDefault="00592FFF" w:rsidP="00497A5B">
            <w:pPr>
              <w:jc w:val="center"/>
              <w:rPr>
                <w:rFonts w:ascii="Arial" w:hAnsi="Arial" w:cs="Arial"/>
                <w:sz w:val="20"/>
                <w:szCs w:val="20"/>
              </w:rPr>
            </w:pPr>
            <w:r>
              <w:rPr>
                <w:rFonts w:ascii="Arial" w:hAnsi="Arial" w:cs="Arial"/>
                <w:sz w:val="20"/>
                <w:szCs w:val="20"/>
              </w:rPr>
              <w:t>78</w:t>
            </w:r>
            <w:r w:rsidR="000F694A" w:rsidRPr="00CC48EF">
              <w:rPr>
                <w:rFonts w:ascii="Arial" w:hAnsi="Arial" w:cs="Arial"/>
                <w:sz w:val="20"/>
                <w:szCs w:val="20"/>
              </w:rPr>
              <w:t xml:space="preserve"> (</w:t>
            </w:r>
            <w:r>
              <w:rPr>
                <w:rFonts w:ascii="Arial" w:hAnsi="Arial" w:cs="Arial"/>
                <w:sz w:val="20"/>
                <w:szCs w:val="20"/>
              </w:rPr>
              <w:t>2</w:t>
            </w:r>
            <w:r w:rsidR="003F0268">
              <w:rPr>
                <w:rFonts w:ascii="Arial" w:hAnsi="Arial" w:cs="Arial"/>
                <w:sz w:val="20"/>
                <w:szCs w:val="20"/>
              </w:rPr>
              <w:t>8</w:t>
            </w:r>
            <w:r w:rsidR="000F694A" w:rsidRPr="00CC48EF">
              <w:rPr>
                <w:rFonts w:ascii="Arial" w:hAnsi="Arial" w:cs="Arial"/>
                <w:sz w:val="20"/>
                <w:szCs w:val="20"/>
              </w:rPr>
              <w:t>)</w:t>
            </w:r>
          </w:p>
        </w:tc>
        <w:tc>
          <w:tcPr>
            <w:tcW w:w="1872" w:type="dxa"/>
            <w:tcBorders>
              <w:top w:val="nil"/>
              <w:bottom w:val="nil"/>
            </w:tcBorders>
          </w:tcPr>
          <w:p w14:paraId="5171D9C2" w14:textId="6A1AABF0" w:rsidR="000F694A" w:rsidRPr="00CC48EF" w:rsidRDefault="00B61AD7" w:rsidP="00497A5B">
            <w:pPr>
              <w:jc w:val="center"/>
              <w:rPr>
                <w:rFonts w:ascii="Arial" w:hAnsi="Arial" w:cs="Arial"/>
                <w:sz w:val="20"/>
                <w:szCs w:val="20"/>
              </w:rPr>
            </w:pPr>
            <w:r>
              <w:rPr>
                <w:rFonts w:ascii="Arial" w:hAnsi="Arial" w:cs="Arial"/>
                <w:sz w:val="20"/>
                <w:szCs w:val="20"/>
              </w:rPr>
              <w:t>41</w:t>
            </w:r>
            <w:r w:rsidR="000F694A" w:rsidRPr="00CC48EF">
              <w:rPr>
                <w:rFonts w:ascii="Arial" w:hAnsi="Arial" w:cs="Arial"/>
                <w:sz w:val="20"/>
                <w:szCs w:val="20"/>
              </w:rPr>
              <w:t xml:space="preserve"> </w:t>
            </w:r>
            <w:r>
              <w:rPr>
                <w:rFonts w:ascii="Arial" w:hAnsi="Arial" w:cs="Arial"/>
                <w:sz w:val="20"/>
                <w:szCs w:val="20"/>
              </w:rPr>
              <w:t>(3</w:t>
            </w:r>
            <w:r w:rsidR="00185C35">
              <w:rPr>
                <w:rFonts w:ascii="Arial" w:hAnsi="Arial" w:cs="Arial"/>
                <w:sz w:val="20"/>
                <w:szCs w:val="20"/>
              </w:rPr>
              <w:t>3</w:t>
            </w:r>
            <w:r w:rsidR="000F694A" w:rsidRPr="00CC48EF">
              <w:rPr>
                <w:rFonts w:ascii="Arial" w:hAnsi="Arial" w:cs="Arial"/>
                <w:sz w:val="20"/>
                <w:szCs w:val="20"/>
              </w:rPr>
              <w:t>)</w:t>
            </w:r>
          </w:p>
        </w:tc>
        <w:tc>
          <w:tcPr>
            <w:tcW w:w="1741" w:type="dxa"/>
            <w:tcBorders>
              <w:top w:val="nil"/>
              <w:bottom w:val="nil"/>
            </w:tcBorders>
          </w:tcPr>
          <w:p w14:paraId="17BBD519" w14:textId="56069C88" w:rsidR="000F694A" w:rsidRPr="00CC48EF" w:rsidRDefault="007C1BE7" w:rsidP="00497A5B">
            <w:pPr>
              <w:jc w:val="center"/>
              <w:rPr>
                <w:rFonts w:ascii="Arial" w:hAnsi="Arial" w:cs="Arial"/>
                <w:sz w:val="20"/>
                <w:szCs w:val="20"/>
              </w:rPr>
            </w:pPr>
            <w:r>
              <w:rPr>
                <w:rFonts w:ascii="Arial" w:hAnsi="Arial" w:cs="Arial"/>
                <w:sz w:val="20"/>
                <w:szCs w:val="20"/>
              </w:rPr>
              <w:t>37</w:t>
            </w:r>
            <w:r w:rsidR="000F694A" w:rsidRPr="00CC48EF">
              <w:rPr>
                <w:rFonts w:ascii="Arial" w:hAnsi="Arial" w:cs="Arial"/>
                <w:sz w:val="20"/>
                <w:szCs w:val="20"/>
              </w:rPr>
              <w:t xml:space="preserve"> (</w:t>
            </w:r>
            <w:r>
              <w:rPr>
                <w:rFonts w:ascii="Arial" w:hAnsi="Arial" w:cs="Arial"/>
                <w:sz w:val="20"/>
                <w:szCs w:val="20"/>
              </w:rPr>
              <w:t>2</w:t>
            </w:r>
            <w:r w:rsidR="00E93990">
              <w:rPr>
                <w:rFonts w:ascii="Arial" w:hAnsi="Arial" w:cs="Arial"/>
                <w:sz w:val="20"/>
                <w:szCs w:val="20"/>
              </w:rPr>
              <w:t>4</w:t>
            </w:r>
            <w:r w:rsidR="000F694A" w:rsidRPr="00CC48EF">
              <w:rPr>
                <w:rFonts w:ascii="Arial" w:hAnsi="Arial" w:cs="Arial"/>
                <w:sz w:val="20"/>
                <w:szCs w:val="20"/>
              </w:rPr>
              <w:t>)</w:t>
            </w:r>
          </w:p>
        </w:tc>
        <w:tc>
          <w:tcPr>
            <w:tcW w:w="900" w:type="dxa"/>
            <w:tcBorders>
              <w:top w:val="nil"/>
              <w:bottom w:val="nil"/>
            </w:tcBorders>
          </w:tcPr>
          <w:p w14:paraId="1BEAEFF5" w14:textId="77777777" w:rsidR="000F694A" w:rsidRPr="00A92193" w:rsidRDefault="000F694A" w:rsidP="00497A5B">
            <w:pPr>
              <w:jc w:val="right"/>
              <w:rPr>
                <w:rFonts w:ascii="Arial" w:hAnsi="Arial" w:cs="Arial"/>
                <w:sz w:val="20"/>
                <w:szCs w:val="20"/>
              </w:rPr>
            </w:pPr>
          </w:p>
        </w:tc>
      </w:tr>
      <w:tr w:rsidR="000F694A" w:rsidRPr="00A92193" w14:paraId="6A31AAFD" w14:textId="77777777" w:rsidTr="00B57A1B">
        <w:tc>
          <w:tcPr>
            <w:tcW w:w="2525" w:type="dxa"/>
            <w:tcBorders>
              <w:top w:val="nil"/>
              <w:bottom w:val="single" w:sz="4" w:space="0" w:color="auto"/>
            </w:tcBorders>
          </w:tcPr>
          <w:p w14:paraId="0454FFB7" w14:textId="77777777" w:rsidR="000F694A" w:rsidRPr="00A92193" w:rsidRDefault="000F694A" w:rsidP="00497A5B">
            <w:pPr>
              <w:rPr>
                <w:rFonts w:ascii="Arial" w:hAnsi="Arial" w:cs="Arial"/>
                <w:sz w:val="20"/>
                <w:szCs w:val="20"/>
              </w:rPr>
            </w:pPr>
            <w:r>
              <w:rPr>
                <w:rFonts w:ascii="Arial" w:hAnsi="Arial" w:cs="Arial"/>
                <w:sz w:val="20"/>
                <w:szCs w:val="20"/>
              </w:rPr>
              <w:t xml:space="preserve">    Refused/don’t know</w:t>
            </w:r>
          </w:p>
        </w:tc>
        <w:tc>
          <w:tcPr>
            <w:tcW w:w="1872" w:type="dxa"/>
            <w:tcBorders>
              <w:top w:val="nil"/>
              <w:bottom w:val="single" w:sz="4" w:space="0" w:color="auto"/>
            </w:tcBorders>
          </w:tcPr>
          <w:p w14:paraId="4BE2D23E" w14:textId="09384961" w:rsidR="000F694A" w:rsidRPr="00A92193" w:rsidRDefault="00592FFF" w:rsidP="00497A5B">
            <w:pPr>
              <w:jc w:val="center"/>
              <w:rPr>
                <w:rFonts w:ascii="Arial" w:hAnsi="Arial" w:cs="Arial"/>
                <w:sz w:val="20"/>
                <w:szCs w:val="20"/>
              </w:rPr>
            </w:pPr>
            <w:r>
              <w:rPr>
                <w:rFonts w:ascii="Arial" w:hAnsi="Arial" w:cs="Arial"/>
                <w:sz w:val="20"/>
                <w:szCs w:val="20"/>
              </w:rPr>
              <w:t>11</w:t>
            </w:r>
            <w:r w:rsidR="000F694A" w:rsidRPr="00CC48EF">
              <w:rPr>
                <w:rFonts w:ascii="Arial" w:hAnsi="Arial" w:cs="Arial"/>
                <w:sz w:val="20"/>
                <w:szCs w:val="20"/>
              </w:rPr>
              <w:t xml:space="preserve"> (</w:t>
            </w:r>
            <w:r>
              <w:rPr>
                <w:rFonts w:ascii="Arial" w:hAnsi="Arial" w:cs="Arial"/>
                <w:sz w:val="20"/>
                <w:szCs w:val="20"/>
              </w:rPr>
              <w:t>4</w:t>
            </w:r>
            <w:r w:rsidR="000F694A" w:rsidRPr="00CC48EF">
              <w:rPr>
                <w:rFonts w:ascii="Arial" w:hAnsi="Arial" w:cs="Arial"/>
                <w:sz w:val="20"/>
                <w:szCs w:val="20"/>
              </w:rPr>
              <w:t>)</w:t>
            </w:r>
          </w:p>
        </w:tc>
        <w:tc>
          <w:tcPr>
            <w:tcW w:w="1872" w:type="dxa"/>
            <w:tcBorders>
              <w:top w:val="nil"/>
              <w:bottom w:val="single" w:sz="4" w:space="0" w:color="auto"/>
            </w:tcBorders>
          </w:tcPr>
          <w:p w14:paraId="57A8684B" w14:textId="2BB5CA17" w:rsidR="000F694A" w:rsidRPr="00A92193" w:rsidRDefault="00B61AD7" w:rsidP="00497A5B">
            <w:pPr>
              <w:jc w:val="center"/>
              <w:rPr>
                <w:rFonts w:ascii="Arial" w:hAnsi="Arial" w:cs="Arial"/>
                <w:sz w:val="20"/>
                <w:szCs w:val="20"/>
              </w:rPr>
            </w:pPr>
            <w:r>
              <w:rPr>
                <w:rFonts w:ascii="Arial" w:hAnsi="Arial" w:cs="Arial"/>
                <w:sz w:val="20"/>
                <w:szCs w:val="20"/>
              </w:rPr>
              <w:t>3</w:t>
            </w:r>
            <w:r w:rsidR="000F694A" w:rsidRPr="00CC48EF">
              <w:rPr>
                <w:rFonts w:ascii="Arial" w:hAnsi="Arial" w:cs="Arial"/>
                <w:sz w:val="20"/>
                <w:szCs w:val="20"/>
              </w:rPr>
              <w:t xml:space="preserve"> (</w:t>
            </w:r>
            <w:r>
              <w:rPr>
                <w:rFonts w:ascii="Arial" w:hAnsi="Arial" w:cs="Arial"/>
                <w:sz w:val="20"/>
                <w:szCs w:val="20"/>
              </w:rPr>
              <w:t>3</w:t>
            </w:r>
            <w:r w:rsidR="000F694A" w:rsidRPr="00CC48EF">
              <w:rPr>
                <w:rFonts w:ascii="Arial" w:hAnsi="Arial" w:cs="Arial"/>
                <w:sz w:val="20"/>
                <w:szCs w:val="20"/>
              </w:rPr>
              <w:t>)</w:t>
            </w:r>
          </w:p>
        </w:tc>
        <w:tc>
          <w:tcPr>
            <w:tcW w:w="1741" w:type="dxa"/>
            <w:tcBorders>
              <w:top w:val="nil"/>
              <w:bottom w:val="single" w:sz="4" w:space="0" w:color="auto"/>
            </w:tcBorders>
          </w:tcPr>
          <w:p w14:paraId="72B5E1EE" w14:textId="34A0750F" w:rsidR="000F694A" w:rsidRPr="00A92193" w:rsidRDefault="007C1BE7" w:rsidP="00497A5B">
            <w:pPr>
              <w:jc w:val="center"/>
              <w:rPr>
                <w:rFonts w:ascii="Arial" w:hAnsi="Arial" w:cs="Arial"/>
                <w:sz w:val="20"/>
                <w:szCs w:val="20"/>
              </w:rPr>
            </w:pPr>
            <w:r>
              <w:rPr>
                <w:rFonts w:ascii="Arial" w:hAnsi="Arial" w:cs="Arial"/>
                <w:sz w:val="20"/>
                <w:szCs w:val="20"/>
              </w:rPr>
              <w:t>7</w:t>
            </w:r>
            <w:r w:rsidR="000F694A" w:rsidRPr="00CC48EF">
              <w:rPr>
                <w:rFonts w:ascii="Arial" w:hAnsi="Arial" w:cs="Arial"/>
                <w:sz w:val="20"/>
                <w:szCs w:val="20"/>
              </w:rPr>
              <w:t xml:space="preserve"> (</w:t>
            </w:r>
            <w:r w:rsidR="00E93990">
              <w:rPr>
                <w:rFonts w:ascii="Arial" w:hAnsi="Arial" w:cs="Arial"/>
                <w:sz w:val="20"/>
                <w:szCs w:val="20"/>
              </w:rPr>
              <w:t>5</w:t>
            </w:r>
            <w:r w:rsidR="000F694A" w:rsidRPr="00CC48EF">
              <w:rPr>
                <w:rFonts w:ascii="Arial" w:hAnsi="Arial" w:cs="Arial"/>
                <w:sz w:val="20"/>
                <w:szCs w:val="20"/>
              </w:rPr>
              <w:t>)</w:t>
            </w:r>
          </w:p>
        </w:tc>
        <w:tc>
          <w:tcPr>
            <w:tcW w:w="900" w:type="dxa"/>
            <w:tcBorders>
              <w:top w:val="nil"/>
              <w:bottom w:val="single" w:sz="4" w:space="0" w:color="auto"/>
            </w:tcBorders>
          </w:tcPr>
          <w:p w14:paraId="46A95BC0" w14:textId="77777777" w:rsidR="000F694A" w:rsidRPr="00A92193" w:rsidRDefault="000F694A" w:rsidP="00497A5B">
            <w:pPr>
              <w:jc w:val="right"/>
              <w:rPr>
                <w:rFonts w:ascii="Arial" w:hAnsi="Arial" w:cs="Arial"/>
                <w:sz w:val="20"/>
                <w:szCs w:val="20"/>
              </w:rPr>
            </w:pPr>
          </w:p>
        </w:tc>
      </w:tr>
      <w:tr w:rsidR="000F694A" w:rsidRPr="00A92193" w14:paraId="5D16BD94" w14:textId="77777777" w:rsidTr="00B57A1B">
        <w:tc>
          <w:tcPr>
            <w:tcW w:w="2525" w:type="dxa"/>
            <w:tcBorders>
              <w:top w:val="single" w:sz="4" w:space="0" w:color="auto"/>
              <w:bottom w:val="single" w:sz="4" w:space="0" w:color="auto"/>
            </w:tcBorders>
          </w:tcPr>
          <w:p w14:paraId="0E79AEBD" w14:textId="77777777" w:rsidR="000F694A" w:rsidRDefault="000F694A" w:rsidP="00497A5B">
            <w:pPr>
              <w:rPr>
                <w:rFonts w:ascii="Arial" w:hAnsi="Arial" w:cs="Arial"/>
                <w:sz w:val="20"/>
                <w:szCs w:val="20"/>
              </w:rPr>
            </w:pPr>
            <w:r>
              <w:rPr>
                <w:rFonts w:ascii="Arial" w:hAnsi="Arial" w:cs="Arial"/>
                <w:sz w:val="20"/>
                <w:szCs w:val="20"/>
              </w:rPr>
              <w:t>Diet K (mg/1000kcal)</w:t>
            </w:r>
          </w:p>
        </w:tc>
        <w:tc>
          <w:tcPr>
            <w:tcW w:w="1872" w:type="dxa"/>
            <w:tcBorders>
              <w:top w:val="single" w:sz="4" w:space="0" w:color="auto"/>
              <w:bottom w:val="single" w:sz="4" w:space="0" w:color="auto"/>
            </w:tcBorders>
          </w:tcPr>
          <w:p w14:paraId="6D3141AE" w14:textId="38BFCF94" w:rsidR="000F694A" w:rsidRPr="00A65D5A" w:rsidRDefault="00DC3846" w:rsidP="00497A5B">
            <w:pPr>
              <w:jc w:val="center"/>
              <w:rPr>
                <w:rFonts w:ascii="Arial" w:hAnsi="Arial" w:cs="Arial"/>
                <w:sz w:val="20"/>
                <w:szCs w:val="20"/>
              </w:rPr>
            </w:pPr>
            <w:r>
              <w:rPr>
                <w:rFonts w:ascii="Arial" w:hAnsi="Arial" w:cs="Arial"/>
                <w:sz w:val="20"/>
                <w:szCs w:val="20"/>
              </w:rPr>
              <w:t>1269</w:t>
            </w:r>
            <w:r w:rsidR="000F694A" w:rsidRPr="00A65D5A">
              <w:rPr>
                <w:rFonts w:ascii="Arial" w:hAnsi="Arial" w:cs="Arial"/>
                <w:sz w:val="20"/>
                <w:szCs w:val="20"/>
              </w:rPr>
              <w:t xml:space="preserve"> (</w:t>
            </w:r>
            <w:r w:rsidR="00EE4E7B">
              <w:rPr>
                <w:rFonts w:ascii="Arial" w:hAnsi="Arial" w:cs="Arial"/>
                <w:sz w:val="20"/>
                <w:szCs w:val="20"/>
              </w:rPr>
              <w:t>394</w:t>
            </w:r>
            <w:r w:rsidR="000F694A" w:rsidRPr="00A65D5A">
              <w:rPr>
                <w:rFonts w:ascii="Arial" w:hAnsi="Arial" w:cs="Arial"/>
                <w:sz w:val="20"/>
                <w:szCs w:val="20"/>
              </w:rPr>
              <w:t>)</w:t>
            </w:r>
          </w:p>
        </w:tc>
        <w:tc>
          <w:tcPr>
            <w:tcW w:w="1872" w:type="dxa"/>
            <w:tcBorders>
              <w:top w:val="single" w:sz="4" w:space="0" w:color="auto"/>
              <w:bottom w:val="single" w:sz="4" w:space="0" w:color="auto"/>
            </w:tcBorders>
          </w:tcPr>
          <w:p w14:paraId="15B192D2" w14:textId="39649282" w:rsidR="000F694A" w:rsidRPr="00A65D5A" w:rsidRDefault="00D25920" w:rsidP="00497A5B">
            <w:pPr>
              <w:jc w:val="center"/>
              <w:rPr>
                <w:rFonts w:ascii="Arial" w:hAnsi="Arial" w:cs="Arial"/>
                <w:sz w:val="20"/>
                <w:szCs w:val="20"/>
              </w:rPr>
            </w:pPr>
            <w:r>
              <w:rPr>
                <w:rFonts w:ascii="Arial" w:hAnsi="Arial" w:cs="Arial"/>
                <w:sz w:val="20"/>
                <w:szCs w:val="20"/>
              </w:rPr>
              <w:t>1252</w:t>
            </w:r>
            <w:r w:rsidR="000F694A" w:rsidRPr="00A65D5A">
              <w:rPr>
                <w:rFonts w:ascii="Arial" w:hAnsi="Arial" w:cs="Arial"/>
                <w:sz w:val="20"/>
                <w:szCs w:val="20"/>
              </w:rPr>
              <w:t xml:space="preserve"> (</w:t>
            </w:r>
            <w:r w:rsidR="00EE4E7B">
              <w:rPr>
                <w:rFonts w:ascii="Arial" w:hAnsi="Arial" w:cs="Arial"/>
                <w:sz w:val="20"/>
                <w:szCs w:val="20"/>
              </w:rPr>
              <w:t>399</w:t>
            </w:r>
            <w:r w:rsidR="000F694A" w:rsidRPr="00A65D5A">
              <w:rPr>
                <w:rFonts w:ascii="Arial" w:hAnsi="Arial" w:cs="Arial"/>
                <w:sz w:val="20"/>
                <w:szCs w:val="20"/>
              </w:rPr>
              <w:t>)</w:t>
            </w:r>
          </w:p>
        </w:tc>
        <w:tc>
          <w:tcPr>
            <w:tcW w:w="1741" w:type="dxa"/>
            <w:tcBorders>
              <w:top w:val="single" w:sz="4" w:space="0" w:color="auto"/>
              <w:bottom w:val="single" w:sz="4" w:space="0" w:color="auto"/>
            </w:tcBorders>
          </w:tcPr>
          <w:p w14:paraId="585A3743" w14:textId="626ED3A7" w:rsidR="000F694A" w:rsidRPr="00A65D5A" w:rsidRDefault="00646867" w:rsidP="00497A5B">
            <w:pPr>
              <w:jc w:val="center"/>
              <w:rPr>
                <w:rFonts w:ascii="Arial" w:hAnsi="Arial" w:cs="Arial"/>
                <w:sz w:val="20"/>
                <w:szCs w:val="20"/>
              </w:rPr>
            </w:pPr>
            <w:r>
              <w:rPr>
                <w:rFonts w:ascii="Arial" w:hAnsi="Arial" w:cs="Arial"/>
                <w:sz w:val="20"/>
                <w:szCs w:val="20"/>
              </w:rPr>
              <w:t>1282</w:t>
            </w:r>
            <w:r w:rsidR="000F694A" w:rsidRPr="00A65D5A">
              <w:rPr>
                <w:rFonts w:ascii="Arial" w:hAnsi="Arial" w:cs="Arial"/>
                <w:sz w:val="20"/>
                <w:szCs w:val="20"/>
              </w:rPr>
              <w:t xml:space="preserve"> (</w:t>
            </w:r>
            <w:r w:rsidR="00EE4E7B">
              <w:rPr>
                <w:rFonts w:ascii="Arial" w:hAnsi="Arial" w:cs="Arial"/>
                <w:sz w:val="20"/>
                <w:szCs w:val="20"/>
              </w:rPr>
              <w:t>391</w:t>
            </w:r>
            <w:r w:rsidR="000F694A" w:rsidRPr="00A65D5A">
              <w:rPr>
                <w:rFonts w:ascii="Arial" w:hAnsi="Arial" w:cs="Arial"/>
                <w:sz w:val="20"/>
                <w:szCs w:val="20"/>
              </w:rPr>
              <w:t>)</w:t>
            </w:r>
          </w:p>
        </w:tc>
        <w:tc>
          <w:tcPr>
            <w:tcW w:w="900" w:type="dxa"/>
            <w:tcBorders>
              <w:top w:val="single" w:sz="4" w:space="0" w:color="auto"/>
              <w:bottom w:val="single" w:sz="4" w:space="0" w:color="auto"/>
            </w:tcBorders>
          </w:tcPr>
          <w:p w14:paraId="1806EF4B" w14:textId="472B19A8" w:rsidR="000F694A" w:rsidRPr="00A92193" w:rsidRDefault="00487DE2" w:rsidP="00497A5B">
            <w:pPr>
              <w:jc w:val="right"/>
              <w:rPr>
                <w:rFonts w:ascii="Arial" w:hAnsi="Arial" w:cs="Arial"/>
                <w:sz w:val="20"/>
                <w:szCs w:val="20"/>
              </w:rPr>
            </w:pPr>
            <w:r>
              <w:rPr>
                <w:rFonts w:ascii="Arial" w:hAnsi="Arial" w:cs="Arial"/>
                <w:sz w:val="20"/>
                <w:szCs w:val="20"/>
              </w:rPr>
              <w:t>0.538</w:t>
            </w:r>
          </w:p>
        </w:tc>
      </w:tr>
      <w:tr w:rsidR="000F694A" w:rsidRPr="00A92193" w14:paraId="7089E8A5" w14:textId="77777777" w:rsidTr="00B57A1B">
        <w:tc>
          <w:tcPr>
            <w:tcW w:w="2525" w:type="dxa"/>
            <w:tcBorders>
              <w:top w:val="single" w:sz="4" w:space="0" w:color="auto"/>
              <w:left w:val="single" w:sz="4" w:space="0" w:color="auto"/>
              <w:bottom w:val="nil"/>
            </w:tcBorders>
          </w:tcPr>
          <w:p w14:paraId="4C73AC7C" w14:textId="77777777" w:rsidR="000F694A" w:rsidRDefault="000F694A" w:rsidP="00497A5B">
            <w:pPr>
              <w:rPr>
                <w:rFonts w:ascii="Arial" w:hAnsi="Arial" w:cs="Arial"/>
                <w:sz w:val="20"/>
                <w:szCs w:val="20"/>
              </w:rPr>
            </w:pPr>
            <w:r>
              <w:rPr>
                <w:rFonts w:ascii="Arial" w:hAnsi="Arial" w:cs="Arial"/>
                <w:sz w:val="20"/>
                <w:szCs w:val="20"/>
              </w:rPr>
              <w:t>Diet K intake adequacy</w:t>
            </w:r>
          </w:p>
        </w:tc>
        <w:tc>
          <w:tcPr>
            <w:tcW w:w="1872" w:type="dxa"/>
            <w:tcBorders>
              <w:top w:val="single" w:sz="4" w:space="0" w:color="auto"/>
              <w:bottom w:val="nil"/>
            </w:tcBorders>
          </w:tcPr>
          <w:p w14:paraId="0CACE319" w14:textId="77777777" w:rsidR="000F694A" w:rsidRPr="00A65D5A" w:rsidRDefault="000F694A" w:rsidP="00497A5B">
            <w:pPr>
              <w:jc w:val="center"/>
              <w:rPr>
                <w:rFonts w:ascii="Arial" w:hAnsi="Arial" w:cs="Arial"/>
                <w:sz w:val="20"/>
                <w:szCs w:val="20"/>
              </w:rPr>
            </w:pPr>
          </w:p>
        </w:tc>
        <w:tc>
          <w:tcPr>
            <w:tcW w:w="1872" w:type="dxa"/>
            <w:tcBorders>
              <w:top w:val="single" w:sz="4" w:space="0" w:color="auto"/>
              <w:bottom w:val="nil"/>
            </w:tcBorders>
          </w:tcPr>
          <w:p w14:paraId="5F90E596" w14:textId="77777777" w:rsidR="000F694A" w:rsidRPr="00A65D5A" w:rsidRDefault="000F694A" w:rsidP="00497A5B">
            <w:pPr>
              <w:jc w:val="center"/>
              <w:rPr>
                <w:rFonts w:ascii="Arial" w:hAnsi="Arial" w:cs="Arial"/>
                <w:sz w:val="20"/>
                <w:szCs w:val="20"/>
              </w:rPr>
            </w:pPr>
          </w:p>
        </w:tc>
        <w:tc>
          <w:tcPr>
            <w:tcW w:w="1741" w:type="dxa"/>
            <w:tcBorders>
              <w:top w:val="single" w:sz="4" w:space="0" w:color="auto"/>
              <w:bottom w:val="nil"/>
            </w:tcBorders>
          </w:tcPr>
          <w:p w14:paraId="54C48B79" w14:textId="77777777" w:rsidR="000F694A" w:rsidRPr="00A65D5A" w:rsidRDefault="000F694A" w:rsidP="00497A5B">
            <w:pPr>
              <w:jc w:val="center"/>
              <w:rPr>
                <w:rFonts w:ascii="Arial" w:hAnsi="Arial" w:cs="Arial"/>
                <w:sz w:val="20"/>
                <w:szCs w:val="20"/>
              </w:rPr>
            </w:pPr>
          </w:p>
        </w:tc>
        <w:tc>
          <w:tcPr>
            <w:tcW w:w="900" w:type="dxa"/>
            <w:tcBorders>
              <w:top w:val="single" w:sz="4" w:space="0" w:color="auto"/>
              <w:bottom w:val="nil"/>
              <w:right w:val="single" w:sz="4" w:space="0" w:color="auto"/>
            </w:tcBorders>
          </w:tcPr>
          <w:p w14:paraId="132794F3" w14:textId="6089138C" w:rsidR="000F694A" w:rsidRDefault="00281B64" w:rsidP="00497A5B">
            <w:pPr>
              <w:jc w:val="right"/>
              <w:rPr>
                <w:rFonts w:ascii="Arial" w:hAnsi="Arial" w:cs="Arial"/>
                <w:sz w:val="20"/>
                <w:szCs w:val="20"/>
              </w:rPr>
            </w:pPr>
            <w:r>
              <w:rPr>
                <w:rFonts w:ascii="Arial" w:hAnsi="Arial" w:cs="Arial"/>
                <w:sz w:val="20"/>
                <w:szCs w:val="20"/>
              </w:rPr>
              <w:t>0.822</w:t>
            </w:r>
          </w:p>
        </w:tc>
      </w:tr>
      <w:tr w:rsidR="000F694A" w:rsidRPr="00A92193" w14:paraId="11FEF13F" w14:textId="77777777" w:rsidTr="00B57A1B">
        <w:tc>
          <w:tcPr>
            <w:tcW w:w="2525" w:type="dxa"/>
            <w:tcBorders>
              <w:top w:val="nil"/>
              <w:left w:val="single" w:sz="4" w:space="0" w:color="auto"/>
              <w:bottom w:val="nil"/>
            </w:tcBorders>
          </w:tcPr>
          <w:p w14:paraId="75AEEEE2" w14:textId="77777777" w:rsidR="000F694A" w:rsidRDefault="000F694A" w:rsidP="00497A5B">
            <w:pPr>
              <w:rPr>
                <w:rFonts w:ascii="Arial" w:hAnsi="Arial" w:cs="Arial"/>
                <w:sz w:val="20"/>
                <w:szCs w:val="20"/>
              </w:rPr>
            </w:pPr>
            <w:r>
              <w:rPr>
                <w:rFonts w:ascii="Arial" w:hAnsi="Arial" w:cs="Arial"/>
                <w:sz w:val="20"/>
                <w:szCs w:val="20"/>
              </w:rPr>
              <w:t xml:space="preserve">    Inadequate</w:t>
            </w:r>
          </w:p>
        </w:tc>
        <w:tc>
          <w:tcPr>
            <w:tcW w:w="1872" w:type="dxa"/>
            <w:tcBorders>
              <w:top w:val="nil"/>
              <w:bottom w:val="nil"/>
            </w:tcBorders>
          </w:tcPr>
          <w:p w14:paraId="530F5880" w14:textId="161583DA" w:rsidR="000F694A" w:rsidRPr="00A65D5A" w:rsidRDefault="008C1E50" w:rsidP="00497A5B">
            <w:pPr>
              <w:jc w:val="center"/>
              <w:rPr>
                <w:rFonts w:ascii="Arial" w:hAnsi="Arial" w:cs="Arial"/>
                <w:sz w:val="20"/>
                <w:szCs w:val="20"/>
              </w:rPr>
            </w:pPr>
            <w:r>
              <w:rPr>
                <w:rFonts w:ascii="Arial" w:hAnsi="Arial" w:cs="Arial"/>
                <w:sz w:val="20"/>
                <w:szCs w:val="20"/>
              </w:rPr>
              <w:t>207</w:t>
            </w:r>
            <w:r w:rsidR="000F694A" w:rsidRPr="001562A3">
              <w:rPr>
                <w:rFonts w:ascii="Arial" w:hAnsi="Arial" w:cs="Arial"/>
                <w:sz w:val="20"/>
                <w:szCs w:val="20"/>
              </w:rPr>
              <w:t xml:space="preserve"> </w:t>
            </w:r>
            <w:r w:rsidR="00217537">
              <w:rPr>
                <w:rFonts w:ascii="Arial" w:hAnsi="Arial" w:cs="Arial"/>
                <w:sz w:val="20"/>
                <w:szCs w:val="20"/>
              </w:rPr>
              <w:t>(77)</w:t>
            </w:r>
          </w:p>
        </w:tc>
        <w:tc>
          <w:tcPr>
            <w:tcW w:w="1872" w:type="dxa"/>
            <w:tcBorders>
              <w:top w:val="nil"/>
              <w:bottom w:val="nil"/>
            </w:tcBorders>
          </w:tcPr>
          <w:p w14:paraId="0EC2FED8" w14:textId="2FC3BFC6" w:rsidR="000F694A" w:rsidRPr="00A65D5A" w:rsidRDefault="0009010A" w:rsidP="00497A5B">
            <w:pPr>
              <w:jc w:val="center"/>
              <w:rPr>
                <w:rFonts w:ascii="Arial" w:hAnsi="Arial" w:cs="Arial"/>
                <w:sz w:val="20"/>
                <w:szCs w:val="20"/>
              </w:rPr>
            </w:pPr>
            <w:r>
              <w:rPr>
                <w:rFonts w:ascii="Arial" w:hAnsi="Arial" w:cs="Arial"/>
                <w:sz w:val="20"/>
                <w:szCs w:val="20"/>
              </w:rPr>
              <w:t>95</w:t>
            </w:r>
            <w:r w:rsidR="000F694A" w:rsidRPr="001562A3">
              <w:rPr>
                <w:rFonts w:ascii="Arial" w:hAnsi="Arial" w:cs="Arial"/>
                <w:sz w:val="20"/>
                <w:szCs w:val="20"/>
              </w:rPr>
              <w:t xml:space="preserve"> (</w:t>
            </w:r>
            <w:r w:rsidR="0025121B">
              <w:rPr>
                <w:rFonts w:ascii="Arial" w:hAnsi="Arial" w:cs="Arial"/>
                <w:sz w:val="20"/>
                <w:szCs w:val="20"/>
              </w:rPr>
              <w:t>78</w:t>
            </w:r>
            <w:r w:rsidR="000F694A" w:rsidRPr="001562A3">
              <w:rPr>
                <w:rFonts w:ascii="Arial" w:hAnsi="Arial" w:cs="Arial"/>
                <w:sz w:val="20"/>
                <w:szCs w:val="20"/>
              </w:rPr>
              <w:t>)</w:t>
            </w:r>
          </w:p>
        </w:tc>
        <w:tc>
          <w:tcPr>
            <w:tcW w:w="1741" w:type="dxa"/>
            <w:tcBorders>
              <w:top w:val="nil"/>
              <w:bottom w:val="nil"/>
            </w:tcBorders>
          </w:tcPr>
          <w:p w14:paraId="69B75DDD" w14:textId="27E601BC" w:rsidR="000F694A" w:rsidRPr="00A65D5A" w:rsidRDefault="0025121B" w:rsidP="00497A5B">
            <w:pPr>
              <w:jc w:val="center"/>
              <w:rPr>
                <w:rFonts w:ascii="Arial" w:hAnsi="Arial" w:cs="Arial"/>
                <w:sz w:val="20"/>
                <w:szCs w:val="20"/>
              </w:rPr>
            </w:pPr>
            <w:r>
              <w:rPr>
                <w:rFonts w:ascii="Arial" w:hAnsi="Arial" w:cs="Arial"/>
                <w:sz w:val="20"/>
                <w:szCs w:val="20"/>
              </w:rPr>
              <w:t>112</w:t>
            </w:r>
            <w:r w:rsidR="000F694A" w:rsidRPr="001562A3">
              <w:rPr>
                <w:rFonts w:ascii="Arial" w:hAnsi="Arial" w:cs="Arial"/>
                <w:sz w:val="20"/>
                <w:szCs w:val="20"/>
              </w:rPr>
              <w:t xml:space="preserve"> (</w:t>
            </w:r>
            <w:r>
              <w:rPr>
                <w:rFonts w:ascii="Arial" w:hAnsi="Arial" w:cs="Arial"/>
                <w:sz w:val="20"/>
                <w:szCs w:val="20"/>
              </w:rPr>
              <w:t>77</w:t>
            </w:r>
            <w:r w:rsidR="000F694A" w:rsidRPr="001562A3">
              <w:rPr>
                <w:rFonts w:ascii="Arial" w:hAnsi="Arial" w:cs="Arial"/>
                <w:sz w:val="20"/>
                <w:szCs w:val="20"/>
              </w:rPr>
              <w:t>)</w:t>
            </w:r>
          </w:p>
        </w:tc>
        <w:tc>
          <w:tcPr>
            <w:tcW w:w="900" w:type="dxa"/>
            <w:tcBorders>
              <w:top w:val="nil"/>
              <w:bottom w:val="nil"/>
              <w:right w:val="single" w:sz="4" w:space="0" w:color="auto"/>
            </w:tcBorders>
          </w:tcPr>
          <w:p w14:paraId="3A98C65F" w14:textId="77777777" w:rsidR="000F694A" w:rsidRDefault="000F694A" w:rsidP="00497A5B">
            <w:pPr>
              <w:jc w:val="right"/>
              <w:rPr>
                <w:rFonts w:ascii="Arial" w:hAnsi="Arial" w:cs="Arial"/>
                <w:sz w:val="20"/>
                <w:szCs w:val="20"/>
              </w:rPr>
            </w:pPr>
          </w:p>
        </w:tc>
      </w:tr>
      <w:tr w:rsidR="000F694A" w:rsidRPr="00A92193" w14:paraId="08F88DE0" w14:textId="77777777" w:rsidTr="00B57A1B">
        <w:tc>
          <w:tcPr>
            <w:tcW w:w="2525" w:type="dxa"/>
            <w:tcBorders>
              <w:top w:val="nil"/>
              <w:left w:val="single" w:sz="4" w:space="0" w:color="auto"/>
              <w:bottom w:val="nil"/>
            </w:tcBorders>
          </w:tcPr>
          <w:p w14:paraId="7C79C358" w14:textId="77777777" w:rsidR="000F694A" w:rsidRDefault="000F694A" w:rsidP="00497A5B">
            <w:pPr>
              <w:rPr>
                <w:rFonts w:ascii="Arial" w:hAnsi="Arial" w:cs="Arial"/>
                <w:sz w:val="20"/>
                <w:szCs w:val="20"/>
              </w:rPr>
            </w:pPr>
            <w:r>
              <w:rPr>
                <w:rFonts w:ascii="Arial" w:hAnsi="Arial" w:cs="Arial"/>
                <w:sz w:val="20"/>
                <w:szCs w:val="20"/>
              </w:rPr>
              <w:t xml:space="preserve">    Borderline</w:t>
            </w:r>
          </w:p>
        </w:tc>
        <w:tc>
          <w:tcPr>
            <w:tcW w:w="1872" w:type="dxa"/>
            <w:tcBorders>
              <w:top w:val="nil"/>
              <w:bottom w:val="nil"/>
            </w:tcBorders>
          </w:tcPr>
          <w:p w14:paraId="6647EF6B" w14:textId="77777777" w:rsidR="000F694A" w:rsidRPr="001562A3" w:rsidRDefault="000F694A" w:rsidP="00497A5B">
            <w:pPr>
              <w:jc w:val="center"/>
              <w:rPr>
                <w:rFonts w:ascii="Arial" w:hAnsi="Arial" w:cs="Arial"/>
                <w:sz w:val="20"/>
                <w:szCs w:val="20"/>
              </w:rPr>
            </w:pPr>
          </w:p>
        </w:tc>
        <w:tc>
          <w:tcPr>
            <w:tcW w:w="1872" w:type="dxa"/>
            <w:tcBorders>
              <w:top w:val="nil"/>
              <w:bottom w:val="nil"/>
            </w:tcBorders>
          </w:tcPr>
          <w:p w14:paraId="70B8BDCD" w14:textId="77777777" w:rsidR="000F694A" w:rsidRPr="001562A3" w:rsidRDefault="000F694A" w:rsidP="00497A5B">
            <w:pPr>
              <w:jc w:val="center"/>
              <w:rPr>
                <w:rFonts w:ascii="Arial" w:hAnsi="Arial" w:cs="Arial"/>
                <w:sz w:val="20"/>
                <w:szCs w:val="20"/>
              </w:rPr>
            </w:pPr>
          </w:p>
        </w:tc>
        <w:tc>
          <w:tcPr>
            <w:tcW w:w="1741" w:type="dxa"/>
            <w:tcBorders>
              <w:top w:val="nil"/>
              <w:bottom w:val="nil"/>
            </w:tcBorders>
          </w:tcPr>
          <w:p w14:paraId="7A564AD2" w14:textId="77777777" w:rsidR="000F694A" w:rsidRPr="001562A3" w:rsidRDefault="000F694A" w:rsidP="00497A5B">
            <w:pPr>
              <w:jc w:val="center"/>
              <w:rPr>
                <w:rFonts w:ascii="Arial" w:hAnsi="Arial" w:cs="Arial"/>
                <w:sz w:val="20"/>
                <w:szCs w:val="20"/>
              </w:rPr>
            </w:pPr>
          </w:p>
        </w:tc>
        <w:tc>
          <w:tcPr>
            <w:tcW w:w="900" w:type="dxa"/>
            <w:tcBorders>
              <w:top w:val="nil"/>
              <w:bottom w:val="nil"/>
              <w:right w:val="single" w:sz="4" w:space="0" w:color="auto"/>
            </w:tcBorders>
          </w:tcPr>
          <w:p w14:paraId="5B81431D" w14:textId="77777777" w:rsidR="000F694A" w:rsidRDefault="000F694A" w:rsidP="00497A5B">
            <w:pPr>
              <w:jc w:val="right"/>
              <w:rPr>
                <w:rFonts w:ascii="Arial" w:hAnsi="Arial" w:cs="Arial"/>
                <w:sz w:val="20"/>
                <w:szCs w:val="20"/>
              </w:rPr>
            </w:pPr>
          </w:p>
        </w:tc>
      </w:tr>
      <w:tr w:rsidR="000F694A" w:rsidRPr="00A92193" w14:paraId="33737BE4" w14:textId="77777777" w:rsidTr="00B57A1B">
        <w:tc>
          <w:tcPr>
            <w:tcW w:w="2525" w:type="dxa"/>
            <w:tcBorders>
              <w:top w:val="nil"/>
              <w:left w:val="single" w:sz="4" w:space="0" w:color="auto"/>
              <w:bottom w:val="single" w:sz="4" w:space="0" w:color="auto"/>
            </w:tcBorders>
          </w:tcPr>
          <w:p w14:paraId="426771CA" w14:textId="77777777" w:rsidR="000F694A" w:rsidRDefault="000F694A" w:rsidP="00497A5B">
            <w:pPr>
              <w:rPr>
                <w:rFonts w:ascii="Arial" w:hAnsi="Arial" w:cs="Arial"/>
                <w:sz w:val="20"/>
                <w:szCs w:val="20"/>
              </w:rPr>
            </w:pPr>
            <w:r>
              <w:rPr>
                <w:rFonts w:ascii="Arial" w:hAnsi="Arial" w:cs="Arial"/>
                <w:sz w:val="20"/>
                <w:szCs w:val="20"/>
              </w:rPr>
              <w:t xml:space="preserve">    Adequate</w:t>
            </w:r>
          </w:p>
        </w:tc>
        <w:tc>
          <w:tcPr>
            <w:tcW w:w="1872" w:type="dxa"/>
            <w:tcBorders>
              <w:top w:val="nil"/>
              <w:bottom w:val="single" w:sz="4" w:space="0" w:color="auto"/>
            </w:tcBorders>
          </w:tcPr>
          <w:p w14:paraId="15851AB1" w14:textId="633C75D4" w:rsidR="000F694A" w:rsidRPr="00A65D5A" w:rsidRDefault="008C1E50" w:rsidP="00497A5B">
            <w:pPr>
              <w:jc w:val="center"/>
              <w:rPr>
                <w:rFonts w:ascii="Arial" w:hAnsi="Arial" w:cs="Arial"/>
                <w:sz w:val="20"/>
                <w:szCs w:val="20"/>
              </w:rPr>
            </w:pPr>
            <w:r>
              <w:rPr>
                <w:rFonts w:ascii="Arial" w:hAnsi="Arial" w:cs="Arial"/>
                <w:sz w:val="20"/>
                <w:szCs w:val="20"/>
              </w:rPr>
              <w:t>61</w:t>
            </w:r>
            <w:r w:rsidR="000F694A" w:rsidRPr="001562A3">
              <w:rPr>
                <w:rFonts w:ascii="Arial" w:hAnsi="Arial" w:cs="Arial"/>
                <w:sz w:val="20"/>
                <w:szCs w:val="20"/>
              </w:rPr>
              <w:t xml:space="preserve"> </w:t>
            </w:r>
            <w:r w:rsidR="00217537">
              <w:rPr>
                <w:rFonts w:ascii="Arial" w:hAnsi="Arial" w:cs="Arial"/>
                <w:sz w:val="20"/>
                <w:szCs w:val="20"/>
              </w:rPr>
              <w:t>(23</w:t>
            </w:r>
            <w:r w:rsidR="000F694A" w:rsidRPr="001562A3">
              <w:rPr>
                <w:rFonts w:ascii="Arial" w:hAnsi="Arial" w:cs="Arial"/>
                <w:sz w:val="20"/>
                <w:szCs w:val="20"/>
              </w:rPr>
              <w:t>)</w:t>
            </w:r>
          </w:p>
        </w:tc>
        <w:tc>
          <w:tcPr>
            <w:tcW w:w="1872" w:type="dxa"/>
            <w:tcBorders>
              <w:top w:val="nil"/>
              <w:bottom w:val="single" w:sz="4" w:space="0" w:color="auto"/>
            </w:tcBorders>
          </w:tcPr>
          <w:p w14:paraId="2E5DB6A4" w14:textId="2CCF2CD6" w:rsidR="000F694A" w:rsidRPr="00A65D5A" w:rsidRDefault="0009010A" w:rsidP="00497A5B">
            <w:pPr>
              <w:jc w:val="center"/>
              <w:rPr>
                <w:rFonts w:ascii="Arial" w:hAnsi="Arial" w:cs="Arial"/>
                <w:sz w:val="20"/>
                <w:szCs w:val="20"/>
              </w:rPr>
            </w:pPr>
            <w:r>
              <w:rPr>
                <w:rFonts w:ascii="Arial" w:hAnsi="Arial" w:cs="Arial"/>
                <w:sz w:val="20"/>
                <w:szCs w:val="20"/>
              </w:rPr>
              <w:t>27</w:t>
            </w:r>
            <w:r w:rsidR="000F694A" w:rsidRPr="001562A3">
              <w:rPr>
                <w:rFonts w:ascii="Arial" w:hAnsi="Arial" w:cs="Arial"/>
                <w:sz w:val="20"/>
                <w:szCs w:val="20"/>
              </w:rPr>
              <w:t xml:space="preserve"> (</w:t>
            </w:r>
            <w:r w:rsidR="0025121B">
              <w:rPr>
                <w:rFonts w:ascii="Arial" w:hAnsi="Arial" w:cs="Arial"/>
                <w:sz w:val="20"/>
                <w:szCs w:val="20"/>
              </w:rPr>
              <w:t>22</w:t>
            </w:r>
            <w:r w:rsidR="000F694A" w:rsidRPr="001562A3">
              <w:rPr>
                <w:rFonts w:ascii="Arial" w:hAnsi="Arial" w:cs="Arial"/>
                <w:sz w:val="20"/>
                <w:szCs w:val="20"/>
              </w:rPr>
              <w:t>)</w:t>
            </w:r>
          </w:p>
        </w:tc>
        <w:tc>
          <w:tcPr>
            <w:tcW w:w="1741" w:type="dxa"/>
            <w:tcBorders>
              <w:top w:val="nil"/>
              <w:bottom w:val="single" w:sz="4" w:space="0" w:color="auto"/>
            </w:tcBorders>
          </w:tcPr>
          <w:p w14:paraId="5C349036" w14:textId="5A6EF4A6" w:rsidR="000F694A" w:rsidRPr="00A65D5A" w:rsidRDefault="0025121B" w:rsidP="00497A5B">
            <w:pPr>
              <w:jc w:val="center"/>
              <w:rPr>
                <w:rFonts w:ascii="Arial" w:hAnsi="Arial" w:cs="Arial"/>
                <w:sz w:val="20"/>
                <w:szCs w:val="20"/>
              </w:rPr>
            </w:pPr>
            <w:r>
              <w:rPr>
                <w:rFonts w:ascii="Arial" w:hAnsi="Arial" w:cs="Arial"/>
                <w:sz w:val="20"/>
                <w:szCs w:val="20"/>
              </w:rPr>
              <w:t>34</w:t>
            </w:r>
            <w:r w:rsidR="000F694A" w:rsidRPr="001562A3">
              <w:rPr>
                <w:rFonts w:ascii="Arial" w:hAnsi="Arial" w:cs="Arial"/>
                <w:sz w:val="20"/>
                <w:szCs w:val="20"/>
              </w:rPr>
              <w:t xml:space="preserve"> (</w:t>
            </w:r>
            <w:r>
              <w:rPr>
                <w:rFonts w:ascii="Arial" w:hAnsi="Arial" w:cs="Arial"/>
                <w:sz w:val="20"/>
                <w:szCs w:val="20"/>
              </w:rPr>
              <w:t>23</w:t>
            </w:r>
            <w:r w:rsidR="000F694A" w:rsidRPr="001562A3">
              <w:rPr>
                <w:rFonts w:ascii="Arial" w:hAnsi="Arial" w:cs="Arial"/>
                <w:sz w:val="20"/>
                <w:szCs w:val="20"/>
              </w:rPr>
              <w:t>)</w:t>
            </w:r>
          </w:p>
        </w:tc>
        <w:tc>
          <w:tcPr>
            <w:tcW w:w="900" w:type="dxa"/>
            <w:tcBorders>
              <w:top w:val="nil"/>
              <w:bottom w:val="single" w:sz="4" w:space="0" w:color="auto"/>
              <w:right w:val="single" w:sz="4" w:space="0" w:color="auto"/>
            </w:tcBorders>
          </w:tcPr>
          <w:p w14:paraId="678D5144" w14:textId="77777777" w:rsidR="000F694A" w:rsidRDefault="000F694A" w:rsidP="00497A5B">
            <w:pPr>
              <w:jc w:val="right"/>
              <w:rPr>
                <w:rFonts w:ascii="Arial" w:hAnsi="Arial" w:cs="Arial"/>
                <w:sz w:val="20"/>
                <w:szCs w:val="20"/>
              </w:rPr>
            </w:pPr>
          </w:p>
        </w:tc>
      </w:tr>
    </w:tbl>
    <w:p w14:paraId="1D6D3753" w14:textId="5D18651F" w:rsidR="00047966" w:rsidRDefault="00D277AE" w:rsidP="00047966">
      <w:pPr>
        <w:pStyle w:val="Heading2"/>
      </w:pPr>
      <w:r>
        <w:t xml:space="preserve">Analysis </w:t>
      </w:r>
      <w:r w:rsidR="00047966">
        <w:t>Results for Aim 1</w:t>
      </w:r>
    </w:p>
    <w:p w14:paraId="05A06601" w14:textId="77777777" w:rsidR="0042582D" w:rsidRDefault="003F2414" w:rsidP="0042582D">
      <w:pPr>
        <w:pStyle w:val="ListParagraph"/>
        <w:ind w:left="0"/>
      </w:pPr>
      <w:r>
        <w:t xml:space="preserve">In our sample, there were </w:t>
      </w:r>
      <w:r w:rsidRPr="003F2414">
        <w:t>64 individuals</w:t>
      </w:r>
      <w:r>
        <w:t xml:space="preserve"> that</w:t>
      </w:r>
      <w:r w:rsidRPr="003F2414">
        <w:t xml:space="preserve"> had CKD and 236 individuals </w:t>
      </w:r>
      <w:r>
        <w:t xml:space="preserve">that </w:t>
      </w:r>
      <w:r w:rsidRPr="003F2414">
        <w:t>did not have CKD.</w:t>
      </w:r>
      <w:r>
        <w:t xml:space="preserve"> </w:t>
      </w:r>
      <w:r w:rsidR="0047258A">
        <w:t xml:space="preserve">We </w:t>
      </w:r>
      <w:r w:rsidR="008F0E06">
        <w:t xml:space="preserve">compared the variances using both the rule of thumb and the variance ratio test. </w:t>
      </w:r>
    </w:p>
    <w:p w14:paraId="49150037" w14:textId="77777777" w:rsidR="0042582D" w:rsidRDefault="0042582D" w:rsidP="0042582D">
      <w:pPr>
        <w:pStyle w:val="ListParagraph"/>
        <w:ind w:left="0"/>
      </w:pPr>
    </w:p>
    <w:p w14:paraId="15199D59" w14:textId="106A43CA" w:rsidR="00573545" w:rsidRPr="00573545" w:rsidRDefault="00573545" w:rsidP="0042582D">
      <w:pPr>
        <w:pStyle w:val="ListParagraph"/>
        <w:ind w:left="0"/>
      </w:pPr>
      <w:r w:rsidRPr="00573545">
        <w:t xml:space="preserve">For the rule of thumb, </w:t>
      </w:r>
      <w:r w:rsidR="0042582D">
        <w:t>we</w:t>
      </w:r>
      <w:r w:rsidRPr="00573545">
        <w:t xml:space="preserve"> found that the ratio of the variances is 1.365 which is not greater than 3. </w:t>
      </w:r>
    </w:p>
    <w:p w14:paraId="135CDD62" w14:textId="5697EB82" w:rsidR="00003292" w:rsidRPr="00573545" w:rsidRDefault="00573545" w:rsidP="0042582D">
      <w:pPr>
        <w:pStyle w:val="ListParagraph"/>
        <w:ind w:left="0"/>
      </w:pPr>
      <w:r w:rsidRPr="00573545">
        <w:t xml:space="preserve">For the variance ratio test, </w:t>
      </w:r>
      <w:r w:rsidR="0042582D">
        <w:t>we</w:t>
      </w:r>
      <w:r w:rsidRPr="00573545">
        <w:t xml:space="preserve"> did a hypothesis test with the following steps:</w:t>
      </w:r>
    </w:p>
    <w:p w14:paraId="719FB6F7" w14:textId="075FE7B4" w:rsidR="00573545" w:rsidRPr="00573545" w:rsidRDefault="00573545" w:rsidP="0042582D">
      <w:pPr>
        <w:pStyle w:val="ListParagraph"/>
        <w:ind w:left="0"/>
      </w:pPr>
      <w:r w:rsidRPr="00573545">
        <w:t xml:space="preserve">Step 1: </w:t>
      </w:r>
      <w:r w:rsidR="0042582D">
        <w:t>We</w:t>
      </w:r>
      <w:r w:rsidRPr="00573545">
        <w:t xml:space="preserve"> assumed that serum K among CKD positive and CKD negative individuals are independent and normally distributed. </w:t>
      </w:r>
    </w:p>
    <w:p w14:paraId="173B28FB" w14:textId="3F28EE75" w:rsidR="00573545" w:rsidRPr="00573545" w:rsidRDefault="00573545" w:rsidP="0042582D">
      <w:pPr>
        <w:pStyle w:val="ListParagraph"/>
        <w:ind w:left="0"/>
        <w:rPr>
          <w:rFonts w:eastAsiaTheme="minorEastAsia"/>
        </w:rPr>
      </w:pPr>
      <w:r w:rsidRPr="00573545">
        <w:t xml:space="preserve">Step 2: </w:t>
      </w:r>
      <w:r w:rsidR="00A02C8A">
        <w:t>We</w:t>
      </w:r>
      <w:r w:rsidRPr="00573545">
        <w:t xml:space="preserve"> set up </w:t>
      </w:r>
      <w:r w:rsidR="00A02C8A">
        <w:t>our</w:t>
      </w:r>
      <w:r w:rsidRPr="00573545">
        <w:t xml:space="preserv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oMath>
      <w:r w:rsidRPr="00573545">
        <w:rPr>
          <w:rFonts w:eastAsiaTheme="minorEastAsia"/>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Pr="00573545">
        <w:rPr>
          <w:rFonts w:eastAsiaTheme="minorEastAsia"/>
        </w:rPr>
        <w:t xml:space="preserve"> is the population variance of serum K among CKD positive individuals and </w:t>
      </w:r>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573545">
        <w:rPr>
          <w:rFonts w:eastAsiaTheme="minorEastAsia"/>
        </w:rPr>
        <w:t xml:space="preserve"> is the population variance of serum K among CKD negative individuals.</w:t>
      </w:r>
    </w:p>
    <w:p w14:paraId="539FD36A" w14:textId="77777777" w:rsidR="00573545" w:rsidRPr="00573545" w:rsidRDefault="00573545" w:rsidP="0042582D">
      <w:pPr>
        <w:pStyle w:val="ListParagraph"/>
        <w:ind w:left="0"/>
        <w:rPr>
          <w:rFonts w:eastAsiaTheme="minorEastAsia"/>
        </w:rPr>
      </w:pPr>
      <w:r w:rsidRPr="00573545">
        <w:rPr>
          <w:rFonts w:eastAsiaTheme="minorEastAsia"/>
        </w:rPr>
        <w:t xml:space="preserve">Step 3: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573545">
        <w:rPr>
          <w:rFonts w:eastAsiaTheme="minorEastAsia"/>
        </w:rPr>
        <w:t xml:space="preserve">, </w:t>
      </w:r>
      <m:oMath>
        <m:r>
          <w:rPr>
            <w:rFonts w:ascii="Cambria Math" w:eastAsiaTheme="minorEastAsia" w:hAnsi="Cambria Math"/>
          </w:rPr>
          <m:t xml:space="preserve">F=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ub>
        </m:sSub>
      </m:oMath>
    </w:p>
    <w:p w14:paraId="357E661F" w14:textId="77777777" w:rsidR="00573545" w:rsidRPr="00573545" w:rsidRDefault="00573545" w:rsidP="0042582D">
      <w:pPr>
        <w:pStyle w:val="ListParagraph"/>
        <w:ind w:left="0"/>
        <w:rPr>
          <w:rFonts w:eastAsiaTheme="minorEastAsia"/>
        </w:rPr>
      </w:pPr>
      <w:r w:rsidRPr="00573545">
        <w:rPr>
          <w:rFonts w:eastAsiaTheme="minorEastAsia"/>
        </w:rPr>
        <w:t xml:space="preserve">Step 4: F = </w:t>
      </w:r>
      <m:oMath>
        <m:f>
          <m:fPr>
            <m:ctrlPr>
              <w:rPr>
                <w:rFonts w:ascii="Cambria Math" w:eastAsiaTheme="minorEastAsia" w:hAnsi="Cambria Math"/>
                <w:i/>
              </w:rPr>
            </m:ctrlPr>
          </m:fPr>
          <m:num>
            <m:r>
              <w:rPr>
                <w:rFonts w:ascii="Cambria Math" w:eastAsiaTheme="minorEastAsia" w:hAnsi="Cambria Math"/>
              </w:rPr>
              <m:t>0.175</m:t>
            </m:r>
          </m:num>
          <m:den>
            <m:r>
              <w:rPr>
                <w:rFonts w:ascii="Cambria Math" w:eastAsiaTheme="minorEastAsia" w:hAnsi="Cambria Math"/>
              </w:rPr>
              <m:t>0.128</m:t>
            </m:r>
          </m:den>
        </m:f>
        <m:r>
          <w:rPr>
            <w:rFonts w:ascii="Cambria Math" w:eastAsiaTheme="minorEastAsia" w:hAnsi="Cambria Math"/>
          </w:rPr>
          <m:t xml:space="preserve">=1.365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63, 235</m:t>
            </m:r>
          </m:sub>
        </m:sSub>
      </m:oMath>
      <w:r w:rsidRPr="00573545">
        <w:rPr>
          <w:rFonts w:eastAsiaTheme="minorEastAsia"/>
        </w:rPr>
        <w:t xml:space="preserve"> The p-value is 2 x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F&gt;1.365</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r>
          <w:rPr>
            <w:rFonts w:ascii="Cambria Math" w:eastAsiaTheme="minorEastAsia" w:hAnsi="Cambria Math"/>
          </w:rPr>
          <m:t>=0.102</m:t>
        </m:r>
      </m:oMath>
    </w:p>
    <w:p w14:paraId="4D207A38" w14:textId="61858B8A" w:rsidR="00573545" w:rsidRPr="00573545" w:rsidRDefault="00573545" w:rsidP="0042582D">
      <w:pPr>
        <w:pStyle w:val="ListParagraph"/>
        <w:ind w:left="0"/>
        <w:rPr>
          <w:rFonts w:eastAsiaTheme="minorEastAsia"/>
        </w:rPr>
      </w:pPr>
      <w:r w:rsidRPr="00573545">
        <w:rPr>
          <w:rFonts w:eastAsiaTheme="minorEastAsia"/>
        </w:rPr>
        <w:t xml:space="preserve">Step 5: Using an alpha level of 0.05, </w:t>
      </w:r>
      <w:r w:rsidR="00D46CD7">
        <w:rPr>
          <w:rFonts w:eastAsiaTheme="minorEastAsia"/>
        </w:rPr>
        <w:t>we</w:t>
      </w:r>
      <w:r w:rsidRPr="00573545">
        <w:rPr>
          <w:rFonts w:eastAsiaTheme="minorEastAsia"/>
        </w:rPr>
        <w:t xml:space="preserve"> concluded that there is not enough evidence to say that the variances are different from each other.</w:t>
      </w:r>
    </w:p>
    <w:p w14:paraId="71FD90B4" w14:textId="77777777" w:rsidR="00573545" w:rsidRPr="00573545" w:rsidRDefault="00573545" w:rsidP="0042582D">
      <w:pPr>
        <w:pStyle w:val="ListParagraph"/>
        <w:ind w:left="0"/>
        <w:rPr>
          <w:rFonts w:eastAsiaTheme="minorEastAsia"/>
        </w:rPr>
      </w:pPr>
    </w:p>
    <w:p w14:paraId="27A54BD8" w14:textId="51962B43" w:rsidR="00573545" w:rsidRDefault="00573545" w:rsidP="0042582D">
      <w:pPr>
        <w:pStyle w:val="ListParagraph"/>
        <w:ind w:left="0"/>
        <w:rPr>
          <w:rFonts w:eastAsiaTheme="minorEastAsia"/>
        </w:rPr>
      </w:pPr>
      <w:r w:rsidRPr="00573545">
        <w:rPr>
          <w:rFonts w:eastAsiaTheme="minorEastAsia"/>
        </w:rPr>
        <w:t xml:space="preserve">Thus, </w:t>
      </w:r>
      <w:r w:rsidR="00D46CD7">
        <w:rPr>
          <w:rFonts w:eastAsiaTheme="minorEastAsia"/>
        </w:rPr>
        <w:t>we</w:t>
      </w:r>
      <w:r w:rsidRPr="00573545">
        <w:rPr>
          <w:rFonts w:eastAsiaTheme="minorEastAsia"/>
        </w:rPr>
        <w:t xml:space="preserve"> chose to assume equal variances for the two-sample t-test. Since </w:t>
      </w:r>
      <w:r w:rsidR="00D46CD7">
        <w:rPr>
          <w:rFonts w:eastAsiaTheme="minorEastAsia"/>
        </w:rPr>
        <w:t>we</w:t>
      </w:r>
      <w:r w:rsidRPr="00573545">
        <w:rPr>
          <w:rFonts w:eastAsiaTheme="minorEastAsia"/>
        </w:rPr>
        <w:t xml:space="preserve"> assume equal variances for the two-sample t-test, </w:t>
      </w:r>
      <w:r w:rsidR="00D46CD7">
        <w:rPr>
          <w:rFonts w:eastAsiaTheme="minorEastAsia"/>
        </w:rPr>
        <w:t>we</w:t>
      </w:r>
      <w:r w:rsidRPr="00573545">
        <w:rPr>
          <w:rFonts w:eastAsiaTheme="minorEastAsia"/>
        </w:rPr>
        <w:t xml:space="preserve"> pooled the variances for the t-test using the following formula: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e>
            </m:d>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64-1</m:t>
                </m:r>
              </m:e>
            </m:d>
            <m:r>
              <w:rPr>
                <w:rFonts w:ascii="Cambria Math" w:eastAsiaTheme="minorEastAsia" w:hAnsi="Cambria Math"/>
              </w:rPr>
              <m:t>0.175+</m:t>
            </m:r>
            <m:d>
              <m:dPr>
                <m:ctrlPr>
                  <w:rPr>
                    <w:rFonts w:ascii="Cambria Math" w:eastAsiaTheme="minorEastAsia" w:hAnsi="Cambria Math"/>
                    <w:i/>
                  </w:rPr>
                </m:ctrlPr>
              </m:dPr>
              <m:e>
                <m:r>
                  <w:rPr>
                    <w:rFonts w:ascii="Cambria Math" w:eastAsiaTheme="minorEastAsia" w:hAnsi="Cambria Math"/>
                  </w:rPr>
                  <m:t>236-1</m:t>
                </m:r>
              </m:e>
            </m:d>
            <m:r>
              <w:rPr>
                <w:rFonts w:ascii="Cambria Math" w:eastAsiaTheme="minorEastAsia" w:hAnsi="Cambria Math"/>
              </w:rPr>
              <m:t>0.128</m:t>
            </m:r>
          </m:num>
          <m:den>
            <m:d>
              <m:dPr>
                <m:ctrlPr>
                  <w:rPr>
                    <w:rFonts w:ascii="Cambria Math" w:eastAsiaTheme="minorEastAsia" w:hAnsi="Cambria Math"/>
                    <w:i/>
                  </w:rPr>
                </m:ctrlPr>
              </m:dPr>
              <m:e>
                <m:r>
                  <w:rPr>
                    <w:rFonts w:ascii="Cambria Math" w:eastAsiaTheme="minorEastAsia" w:hAnsi="Cambria Math"/>
                  </w:rPr>
                  <m:t>64-1</m:t>
                </m:r>
              </m:e>
            </m:d>
            <m:r>
              <w:rPr>
                <w:rFonts w:ascii="Cambria Math" w:eastAsiaTheme="minorEastAsia" w:hAnsi="Cambria Math"/>
              </w:rPr>
              <m:t>+(236-1)</m:t>
            </m:r>
          </m:den>
        </m:f>
        <m:r>
          <w:rPr>
            <w:rFonts w:ascii="Cambria Math" w:eastAsiaTheme="minorEastAsia" w:hAnsi="Cambria Math"/>
          </w:rPr>
          <m:t>= 0.138</m:t>
        </m:r>
      </m:oMath>
    </w:p>
    <w:p w14:paraId="09067ACA" w14:textId="7F71A611" w:rsidR="004D6722" w:rsidRDefault="004D6722" w:rsidP="0042582D">
      <w:pPr>
        <w:pStyle w:val="ListParagraph"/>
        <w:ind w:left="0"/>
        <w:rPr>
          <w:rFonts w:eastAsiaTheme="minorEastAsia"/>
        </w:rPr>
      </w:pPr>
    </w:p>
    <w:p w14:paraId="31A64CED" w14:textId="310FA6FC" w:rsidR="00103169" w:rsidRDefault="00336C67" w:rsidP="0042582D">
      <w:pPr>
        <w:pStyle w:val="ListParagraph"/>
        <w:ind w:left="0"/>
        <w:rPr>
          <w:rFonts w:eastAsiaTheme="minorEastAsia"/>
        </w:rPr>
      </w:pPr>
      <w:r>
        <w:rPr>
          <w:rFonts w:eastAsiaTheme="minorEastAsia"/>
        </w:rPr>
        <w:t>Now that we had the</w:t>
      </w:r>
      <w:r w:rsidR="00C20491">
        <w:rPr>
          <w:rFonts w:eastAsiaTheme="minorEastAsia"/>
        </w:rPr>
        <w:t xml:space="preserve"> pooled variance and knew the correct two-sample t-test formula to use, we ran our hypothesis test to compare </w:t>
      </w:r>
      <w:r w:rsidR="00B923AD">
        <w:rPr>
          <w:rFonts w:eastAsiaTheme="minorEastAsia"/>
        </w:rPr>
        <w:t xml:space="preserve">mean serum K </w:t>
      </w:r>
      <w:r w:rsidR="00D80F0F">
        <w:rPr>
          <w:rFonts w:eastAsiaTheme="minorEastAsia"/>
        </w:rPr>
        <w:t>between</w:t>
      </w:r>
      <w:r w:rsidR="00B923AD">
        <w:rPr>
          <w:rFonts w:eastAsiaTheme="minorEastAsia"/>
        </w:rPr>
        <w:t xml:space="preserve"> individuals with and without </w:t>
      </w:r>
      <w:r w:rsidR="00103169">
        <w:rPr>
          <w:rFonts w:eastAsiaTheme="minorEastAsia"/>
        </w:rPr>
        <w:t>CKD using the following steps:</w:t>
      </w:r>
    </w:p>
    <w:p w14:paraId="4085DD26" w14:textId="77777777" w:rsidR="00003292" w:rsidRDefault="00003292" w:rsidP="0042582D">
      <w:pPr>
        <w:pStyle w:val="ListParagraph"/>
        <w:ind w:left="0"/>
        <w:rPr>
          <w:rFonts w:eastAsiaTheme="minorEastAsia"/>
        </w:rPr>
      </w:pPr>
    </w:p>
    <w:p w14:paraId="7AE15068" w14:textId="47BCAFDE" w:rsidR="00C7705E" w:rsidRPr="00C7705E" w:rsidRDefault="00C7705E" w:rsidP="0042582D">
      <w:pPr>
        <w:pStyle w:val="ListParagraph"/>
        <w:ind w:left="0"/>
        <w:rPr>
          <w:rFonts w:eastAsiaTheme="minorEastAsia"/>
        </w:rPr>
      </w:pPr>
      <w:r w:rsidRPr="00C7705E">
        <w:t xml:space="preserve">Step 1: </w:t>
      </w:r>
      <w:r w:rsidR="00103169">
        <w:t>We</w:t>
      </w:r>
      <w:r w:rsidRPr="00C7705E">
        <w:t xml:space="preserve"> assumed that the two populations are independent, that serum K among CKD positive individuals ~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oMath>
      <w:r w:rsidRPr="00C7705E">
        <w:rPr>
          <w:rFonts w:eastAsiaTheme="minorEastAsia"/>
        </w:rPr>
        <w:t xml:space="preserve"> and that serum K among CKD negative individuals </w:t>
      </w:r>
      <w:r w:rsidRPr="00C7705E">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oMath>
      <w:r w:rsidRPr="00C7705E">
        <w:rPr>
          <w:rFonts w:eastAsiaTheme="minorEastAsia"/>
        </w:rPr>
        <w:t>.</w:t>
      </w:r>
    </w:p>
    <w:p w14:paraId="30D6B0ED" w14:textId="07B2B6E4" w:rsidR="00C7705E" w:rsidRPr="00C7705E" w:rsidRDefault="00C7705E" w:rsidP="0042582D">
      <w:pPr>
        <w:pStyle w:val="ListParagraph"/>
        <w:ind w:left="0"/>
        <w:rPr>
          <w:rFonts w:eastAsiaTheme="minorEastAsia"/>
        </w:rPr>
      </w:pPr>
      <w:r w:rsidRPr="00C7705E">
        <w:t xml:space="preserve">Step 2: </w:t>
      </w:r>
      <w:r w:rsidR="00FB7797">
        <w:t>We</w:t>
      </w:r>
      <w:r w:rsidRPr="00C7705E">
        <w:t xml:space="preserve"> set up </w:t>
      </w:r>
      <w:r w:rsidR="00FB7797">
        <w:t>our</w:t>
      </w:r>
      <w:r w:rsidRPr="00C7705E">
        <w:t xml:space="preserv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δ=0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δ≠0</m:t>
        </m:r>
      </m:oMath>
      <w:r w:rsidRPr="00C7705E">
        <w:rPr>
          <w:rFonts w:eastAsiaTheme="minorEastAsia"/>
        </w:rPr>
        <w:t xml:space="preserve"> where </w:t>
      </w:r>
      <m:oMath>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Pr="00C7705E">
        <w:rPr>
          <w:rFonts w:eastAsiaTheme="minorEastAsia"/>
        </w:rPr>
        <w:t xml:space="preserve"> is the unknown difference in mean serum K between CKD positive individuals and CKD negative individuals.</w:t>
      </w:r>
    </w:p>
    <w:p w14:paraId="374E336A" w14:textId="77777777" w:rsidR="00C7705E" w:rsidRPr="00C7705E" w:rsidRDefault="00C7705E" w:rsidP="0042582D">
      <w:pPr>
        <w:pStyle w:val="ListParagraph"/>
        <w:ind w:left="0"/>
        <w:rPr>
          <w:rFonts w:eastAsiaTheme="minorEastAsia"/>
        </w:rPr>
      </w:pPr>
      <w:r w:rsidRPr="00C7705E">
        <w:rPr>
          <w:rFonts w:eastAsiaTheme="minorEastAsia"/>
        </w:rPr>
        <w:t xml:space="preserve">Step 3: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type m:val="skw"/>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type m:val="skw"/>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 xml:space="preserve"> </m:t>
                </m:r>
              </m:e>
            </m:rad>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m:t>
            </m:r>
          </m:sub>
        </m:sSub>
      </m:oMath>
      <w:r w:rsidRPr="00C7705E">
        <w:rPr>
          <w:rFonts w:eastAsiaTheme="minorEastAsia"/>
        </w:rPr>
        <w:t xml:space="preserve"> </w:t>
      </w:r>
    </w:p>
    <w:p w14:paraId="4E172FA4" w14:textId="77777777" w:rsidR="00C7705E" w:rsidRPr="00C7705E" w:rsidRDefault="00C7705E" w:rsidP="0042582D">
      <w:pPr>
        <w:pStyle w:val="ListParagraph"/>
        <w:ind w:left="0"/>
        <w:rPr>
          <w:rFonts w:eastAsiaTheme="minorEastAsia"/>
        </w:rPr>
      </w:pPr>
      <w:r w:rsidRPr="00C7705E">
        <w:rPr>
          <w:rFonts w:eastAsiaTheme="minorEastAsia"/>
        </w:rPr>
        <w:t xml:space="preserve">Step 4: T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4.111-4.089</m:t>
                </m:r>
              </m:e>
            </m:d>
            <m:r>
              <w:rPr>
                <w:rFonts w:ascii="Cambria Math" w:eastAsiaTheme="minorEastAsia" w:hAnsi="Cambria Math"/>
              </w:rPr>
              <m:t>-0</m:t>
            </m:r>
          </m:num>
          <m:den>
            <m:rad>
              <m:radPr>
                <m:degHide m:val="1"/>
                <m:ctrlPr>
                  <w:rPr>
                    <w:rFonts w:ascii="Cambria Math" w:eastAsiaTheme="minorEastAsia" w:hAnsi="Cambria Math"/>
                    <w:i/>
                  </w:rPr>
                </m:ctrlPr>
              </m:radPr>
              <m:deg/>
              <m:e>
                <m:f>
                  <m:fPr>
                    <m:type m:val="skw"/>
                    <m:ctrlPr>
                      <w:rPr>
                        <w:rFonts w:ascii="Cambria Math" w:eastAsiaTheme="minorEastAsia" w:hAnsi="Cambria Math"/>
                        <w:i/>
                      </w:rPr>
                    </m:ctrlPr>
                  </m:fPr>
                  <m:num>
                    <m:r>
                      <w:rPr>
                        <w:rFonts w:ascii="Cambria Math" w:eastAsiaTheme="minorEastAsia" w:hAnsi="Cambria Math"/>
                      </w:rPr>
                      <m:t>0.138</m:t>
                    </m:r>
                  </m:num>
                  <m:den>
                    <m:r>
                      <w:rPr>
                        <w:rFonts w:ascii="Cambria Math" w:eastAsiaTheme="minorEastAsia" w:hAnsi="Cambria Math"/>
                      </w:rPr>
                      <m:t>64</m:t>
                    </m:r>
                  </m:den>
                </m:f>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0.138</m:t>
                    </m:r>
                  </m:num>
                  <m:den>
                    <m:r>
                      <w:rPr>
                        <w:rFonts w:ascii="Cambria Math" w:eastAsiaTheme="minorEastAsia" w:hAnsi="Cambria Math"/>
                      </w:rPr>
                      <m:t>236</m:t>
                    </m:r>
                  </m:den>
                </m:f>
              </m:e>
            </m:rad>
          </m:den>
        </m:f>
        <m:r>
          <w:rPr>
            <w:rFonts w:ascii="Cambria Math" w:eastAsiaTheme="minorEastAsia" w:hAnsi="Cambria Math"/>
          </w:rPr>
          <m:t>=0.419</m:t>
        </m:r>
      </m:oMath>
    </w:p>
    <w:p w14:paraId="04E15983" w14:textId="262A55C4" w:rsidR="00C7705E" w:rsidRPr="00C7705E" w:rsidRDefault="00C7705E" w:rsidP="0042582D">
      <w:pPr>
        <w:pStyle w:val="ListParagraph"/>
        <w:ind w:left="0"/>
        <w:rPr>
          <w:rFonts w:eastAsiaTheme="minorEastAsia"/>
        </w:rPr>
      </w:pPr>
      <w:r w:rsidRPr="00C7705E">
        <w:rPr>
          <w:rFonts w:eastAsiaTheme="minorEastAsia"/>
        </w:rPr>
        <w:t>The p-value is 2 x P(T &gt; 0.419) = 0.675</w:t>
      </w:r>
    </w:p>
    <w:p w14:paraId="5433AF03" w14:textId="24526D48" w:rsidR="00C7705E" w:rsidRDefault="00C7705E" w:rsidP="0042582D">
      <w:pPr>
        <w:pStyle w:val="ListParagraph"/>
        <w:ind w:left="0"/>
        <w:rPr>
          <w:rFonts w:eastAsiaTheme="minorEastAsia"/>
        </w:rPr>
      </w:pPr>
      <w:r w:rsidRPr="00C7705E">
        <w:rPr>
          <w:rFonts w:eastAsiaTheme="minorEastAsia"/>
        </w:rPr>
        <w:t xml:space="preserve">Step 5: Using an alpha level of 0.05, </w:t>
      </w:r>
      <w:r w:rsidR="00FB7797">
        <w:rPr>
          <w:rFonts w:eastAsiaTheme="minorEastAsia"/>
        </w:rPr>
        <w:t>we</w:t>
      </w:r>
      <w:r w:rsidRPr="00C7705E">
        <w:rPr>
          <w:rFonts w:eastAsiaTheme="minorEastAsia"/>
        </w:rPr>
        <w:t xml:space="preserve"> concluded that there is not sufficient evidence to say that mean serum K is different between CKD positive and CKD negative individuals.</w:t>
      </w:r>
    </w:p>
    <w:p w14:paraId="09373309" w14:textId="77777777" w:rsidR="00FB7797" w:rsidRDefault="00FB7797" w:rsidP="0042582D">
      <w:pPr>
        <w:pStyle w:val="ListParagraph"/>
        <w:ind w:left="0"/>
        <w:rPr>
          <w:rFonts w:eastAsiaTheme="minorEastAsia"/>
        </w:rPr>
      </w:pPr>
    </w:p>
    <w:p w14:paraId="2208483F" w14:textId="252687A8" w:rsidR="00EB10FC" w:rsidRDefault="00EB10FC" w:rsidP="0042582D">
      <w:pPr>
        <w:pStyle w:val="ListParagraph"/>
        <w:ind w:left="0"/>
      </w:pPr>
      <w:r w:rsidRPr="008672B6">
        <w:t xml:space="preserve">In the context of the problem, the t-test results mean that there is no association between CKD status and serum K. </w:t>
      </w:r>
      <w:r w:rsidR="00556703">
        <w:t>We</w:t>
      </w:r>
      <w:r w:rsidRPr="008672B6">
        <w:t xml:space="preserve"> hypothesized that higher serum K would be associated with CKD negative status, however, there was no significant difference in mean serum K between CKD positive and CKD negative individuals, so the results do not align with </w:t>
      </w:r>
      <w:r w:rsidR="00556703">
        <w:t>our</w:t>
      </w:r>
      <w:r w:rsidRPr="008672B6">
        <w:t xml:space="preserve"> hypothesis.</w:t>
      </w:r>
    </w:p>
    <w:p w14:paraId="522F0548" w14:textId="77777777" w:rsidR="00556703" w:rsidRPr="008672B6" w:rsidRDefault="00556703" w:rsidP="0042582D">
      <w:pPr>
        <w:pStyle w:val="ListParagraph"/>
        <w:ind w:left="0"/>
      </w:pPr>
    </w:p>
    <w:p w14:paraId="4FD6B5BC" w14:textId="5E19E0F7" w:rsidR="008672B6" w:rsidRPr="008672B6" w:rsidRDefault="008672B6" w:rsidP="0042582D">
      <w:pPr>
        <w:pStyle w:val="ListParagraph"/>
        <w:ind w:left="0"/>
      </w:pPr>
      <w:r w:rsidRPr="008672B6">
        <w:t xml:space="preserve">The 95% confidence interval </w:t>
      </w:r>
      <w:r w:rsidR="00556703">
        <w:t xml:space="preserve">for this aim </w:t>
      </w:r>
      <w:r w:rsidRPr="008672B6">
        <w:t xml:space="preserve">was (-0.081, 0.125). We are 95% confident that the true mean difference in serum K between CKD positive and CKD negative individuals is between </w:t>
      </w:r>
    </w:p>
    <w:p w14:paraId="7B06D645" w14:textId="619099C6" w:rsidR="008672B6" w:rsidRDefault="008672B6" w:rsidP="0042582D">
      <w:pPr>
        <w:pStyle w:val="ListParagraph"/>
        <w:ind w:left="0"/>
      </w:pPr>
      <w:r w:rsidRPr="008672B6">
        <w:t>-0.081 and 0.125.</w:t>
      </w:r>
    </w:p>
    <w:p w14:paraId="0368367F" w14:textId="4FFF5963" w:rsidR="004B3250" w:rsidRDefault="004B3250" w:rsidP="0042582D">
      <w:pPr>
        <w:pStyle w:val="ListParagraph"/>
        <w:ind w:left="0"/>
      </w:pPr>
    </w:p>
    <w:p w14:paraId="12150E19" w14:textId="3EA7470E" w:rsidR="004B3250" w:rsidRDefault="00EB5FBF" w:rsidP="0042582D">
      <w:pPr>
        <w:pStyle w:val="ListParagraph"/>
        <w:ind w:left="0"/>
      </w:pPr>
      <w:r>
        <w:t>Next, we conducted a chi-squared test to see if there is an association between serum K and CKD</w:t>
      </w:r>
      <w:r w:rsidR="006A777F">
        <w:t xml:space="preserve">. We chose a chi-squared test because the sample size in each group (normal serum K and CKD positive, low-normal serum K and CKD positive, etc.) </w:t>
      </w:r>
      <w:r w:rsidR="00914D26">
        <w:t>was greater than 5.</w:t>
      </w:r>
    </w:p>
    <w:p w14:paraId="325DAF64" w14:textId="4F1E57DC" w:rsidR="00BD087C" w:rsidRDefault="00BD087C" w:rsidP="0042582D">
      <w:pPr>
        <w:pStyle w:val="ListParagraph"/>
        <w:ind w:left="0"/>
      </w:pPr>
    </w:p>
    <w:p w14:paraId="5A1D662A" w14:textId="0E61517F" w:rsidR="00BD087C" w:rsidRDefault="007223B6" w:rsidP="0042582D">
      <w:pPr>
        <w:pStyle w:val="ListParagraph"/>
        <w:ind w:left="0"/>
      </w:pPr>
      <w:r>
        <w:t>The results of the chi-squared test w</w:t>
      </w:r>
      <w:r w:rsidR="00A006A8">
        <w:t>ere</w:t>
      </w:r>
      <w:r>
        <w:t xml:space="preserve"> that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w:rPr>
            <w:rFonts w:ascii="Cambria Math" w:hAnsi="Cambria Math"/>
          </w:rPr>
          <m:t>=</m:t>
        </m:r>
        <m:r>
          <w:rPr>
            <w:rFonts w:ascii="Cambria Math" w:hAnsi="Cambria Math"/>
          </w:rPr>
          <m:t>0.397</m:t>
        </m:r>
      </m:oMath>
      <w:r w:rsidR="00726542">
        <w:rPr>
          <w:rFonts w:eastAsiaTheme="minorEastAsia"/>
        </w:rPr>
        <w:t xml:space="preserve"> and the p-value = 0.529. </w:t>
      </w:r>
      <w:r w:rsidR="00A73357">
        <w:rPr>
          <w:rFonts w:eastAsiaTheme="minorEastAsia"/>
        </w:rPr>
        <w:t>So, we failed to reject the null hypothesis and concluded that the</w:t>
      </w:r>
      <w:r w:rsidR="002769CB">
        <w:rPr>
          <w:rFonts w:eastAsiaTheme="minorEastAsia"/>
        </w:rPr>
        <w:t xml:space="preserve">re is no evidence against </w:t>
      </w:r>
      <w:r w:rsidR="00D5278B">
        <w:rPr>
          <w:rFonts w:eastAsiaTheme="minorEastAsia"/>
        </w:rPr>
        <w:t>serum K and CKD being independent of each other.</w:t>
      </w:r>
    </w:p>
    <w:p w14:paraId="47E8C96A" w14:textId="312DE1B3" w:rsidR="00A27D51" w:rsidRDefault="00A27D51" w:rsidP="0042582D">
      <w:pPr>
        <w:pStyle w:val="ListParagraph"/>
        <w:ind w:left="0"/>
      </w:pPr>
    </w:p>
    <w:p w14:paraId="483856C2" w14:textId="6CFE1793" w:rsidR="00F65FD5" w:rsidRDefault="00F65FD5" w:rsidP="0042582D">
      <w:pPr>
        <w:pStyle w:val="ListParagraph"/>
        <w:ind w:left="0"/>
      </w:pPr>
      <w:r>
        <w:t xml:space="preserve">The </w:t>
      </w:r>
      <w:r w:rsidR="00134ADD">
        <w:t>r</w:t>
      </w:r>
      <w:r w:rsidR="00BD13C6">
        <w:t xml:space="preserve">elative risk </w:t>
      </w:r>
      <w:r w:rsidR="00134ADD">
        <w:t>was 1.152</w:t>
      </w:r>
      <w:r w:rsidR="00D36143">
        <w:t xml:space="preserve"> with a 95% CI of (</w:t>
      </w:r>
      <w:r w:rsidR="004E76CA">
        <w:t>0.741</w:t>
      </w:r>
      <w:r w:rsidR="00D36143">
        <w:t>,</w:t>
      </w:r>
      <w:r w:rsidR="004E76CA">
        <w:t xml:space="preserve"> 1.790</w:t>
      </w:r>
      <w:r w:rsidR="00D36143">
        <w:t xml:space="preserve">). </w:t>
      </w:r>
      <w:r w:rsidR="00427F1C">
        <w:t xml:space="preserve">This means that </w:t>
      </w:r>
      <w:r w:rsidR="00A60417">
        <w:t>individuals with normal serum K have 15.2% increased risk of having CKD compared to individuals with low-normal serum K</w:t>
      </w:r>
      <w:r w:rsidR="000E2BD8">
        <w:t>, though this increase was not statistically significant</w:t>
      </w:r>
      <w:r w:rsidR="00A60417">
        <w:t xml:space="preserve">. </w:t>
      </w:r>
      <w:r w:rsidR="00BD13C6">
        <w:t xml:space="preserve">We are 95% confident that the true relative risk is between </w:t>
      </w:r>
      <w:r w:rsidR="00301046">
        <w:t xml:space="preserve">0.741 and 1.790. This means that we are 95% confident that </w:t>
      </w:r>
      <w:r w:rsidR="00AD2488">
        <w:t xml:space="preserve">the </w:t>
      </w:r>
      <w:r w:rsidR="007E24B4">
        <w:t xml:space="preserve">risk for individuals with normal serum K to have CKD is between 25.9% </w:t>
      </w:r>
      <w:r w:rsidR="00AD2488">
        <w:t xml:space="preserve">lower than individuals with low-normal serum K and 79% </w:t>
      </w:r>
      <w:r w:rsidR="004E76CA">
        <w:t>higher than individuals with low-normal serum K.</w:t>
      </w:r>
    </w:p>
    <w:p w14:paraId="6ADB600E" w14:textId="7D00EA73" w:rsidR="00D50592" w:rsidRDefault="00D50592" w:rsidP="0042582D">
      <w:pPr>
        <w:pStyle w:val="ListParagraph"/>
        <w:ind w:left="0"/>
      </w:pPr>
    </w:p>
    <w:p w14:paraId="272F373D" w14:textId="18E08D08" w:rsidR="00D50592" w:rsidRDefault="008A066D" w:rsidP="0042582D">
      <w:pPr>
        <w:pStyle w:val="ListParagraph"/>
        <w:ind w:left="0"/>
      </w:pPr>
      <w:r>
        <w:t xml:space="preserve">The odds ratio was </w:t>
      </w:r>
      <w:r w:rsidR="0041170D">
        <w:t>1.196 with a 95% CI of (</w:t>
      </w:r>
      <w:r w:rsidR="00C33415">
        <w:t xml:space="preserve">0.685, 2.091). </w:t>
      </w:r>
      <w:r w:rsidR="00E60E2B">
        <w:t xml:space="preserve">This means that individuals with normal serum K have 19.6% higher odds of having CKD compared to individuals with low-normal serum K, though this increase was not statistically significant. We are 95% confident that the true odds ratio is between 0.685 and </w:t>
      </w:r>
      <w:r w:rsidR="006372C3">
        <w:t xml:space="preserve">2.091. This means that we are 95% confident that the odds of having CKD are somewhere between 31.5% </w:t>
      </w:r>
      <w:r w:rsidR="00B338A7">
        <w:t xml:space="preserve">lower </w:t>
      </w:r>
      <w:r w:rsidR="00321BCE">
        <w:t>and</w:t>
      </w:r>
      <w:r w:rsidR="00B338A7">
        <w:t xml:space="preserve"> 109.1% higher for individuals with normal serum K compared to individuals with low-normal serum K.</w:t>
      </w:r>
    </w:p>
    <w:p w14:paraId="7BF24957" w14:textId="18F4946E" w:rsidR="00B338A7" w:rsidRDefault="00B338A7" w:rsidP="0042582D">
      <w:pPr>
        <w:pStyle w:val="ListParagraph"/>
        <w:ind w:left="0"/>
      </w:pPr>
    </w:p>
    <w:p w14:paraId="79EF0351" w14:textId="1519F3E5" w:rsidR="00B338A7" w:rsidRDefault="00F003CF" w:rsidP="0042582D">
      <w:pPr>
        <w:pStyle w:val="ListParagraph"/>
        <w:ind w:left="0"/>
      </w:pPr>
      <w:r>
        <w:t xml:space="preserve">Looking back at our research hypothesis, the relative risk and odds ratio were </w:t>
      </w:r>
      <w:r w:rsidR="00C865A2">
        <w:t>not in the expected direction. Instead, higher serum K is associated with greater risk</w:t>
      </w:r>
      <w:r w:rsidR="0099158A">
        <w:t xml:space="preserve"> and odds of having CKD.</w:t>
      </w:r>
    </w:p>
    <w:p w14:paraId="1FAE61B3" w14:textId="7FE6CAC4" w:rsidR="0099158A" w:rsidRDefault="0099158A" w:rsidP="0042582D">
      <w:pPr>
        <w:pStyle w:val="ListParagraph"/>
        <w:ind w:left="0"/>
      </w:pPr>
    </w:p>
    <w:p w14:paraId="53FDD0FD" w14:textId="7B44D69B" w:rsidR="0099158A" w:rsidRDefault="003F7A8E" w:rsidP="0042582D">
      <w:pPr>
        <w:pStyle w:val="ListParagraph"/>
        <w:ind w:left="0"/>
      </w:pPr>
      <w:r>
        <w:t xml:space="preserve">The last part of the </w:t>
      </w:r>
      <w:r w:rsidR="00AF15F6">
        <w:t xml:space="preserve">analysis investigated whether </w:t>
      </w:r>
      <w:r w:rsidR="008A0D52">
        <w:t xml:space="preserve">serum K and </w:t>
      </w:r>
      <w:r w:rsidR="00800D17">
        <w:t xml:space="preserve">CKD are associated with each other after adjusting for age. There </w:t>
      </w:r>
      <w:r w:rsidR="00790CD9">
        <w:t>were 109 participants age</w:t>
      </w:r>
      <w:r w:rsidR="00A377DC">
        <w:t>d</w:t>
      </w:r>
      <w:r w:rsidR="00790CD9">
        <w:t xml:space="preserve"> 60 and over</w:t>
      </w:r>
      <w:r w:rsidR="00B63F23">
        <w:t xml:space="preserve"> and 191 participants age under 60.</w:t>
      </w:r>
    </w:p>
    <w:p w14:paraId="0784CF67" w14:textId="0D1545B6" w:rsidR="00267DDF" w:rsidRDefault="00267DDF" w:rsidP="0042582D">
      <w:pPr>
        <w:pStyle w:val="ListParagraph"/>
        <w:ind w:left="0"/>
      </w:pPr>
    </w:p>
    <w:p w14:paraId="04201FCD" w14:textId="5809786E" w:rsidR="00267DDF" w:rsidRDefault="00267DDF" w:rsidP="0042582D">
      <w:pPr>
        <w:pStyle w:val="ListParagraph"/>
        <w:ind w:left="0"/>
      </w:pPr>
      <w:r>
        <w:t>For the</w:t>
      </w:r>
      <w:r w:rsidR="00B1088D">
        <w:t xml:space="preserve"> participants age</w:t>
      </w:r>
      <w:r w:rsidR="00A377DC">
        <w:t>d</w:t>
      </w:r>
      <w:r w:rsidR="00B1088D">
        <w:t xml:space="preserve"> 60 and over, the odds ratio was 1.138 with a 95% CI of (</w:t>
      </w:r>
      <w:r w:rsidR="00BD3721">
        <w:t xml:space="preserve">0.511, 2.534). </w:t>
      </w:r>
      <w:r w:rsidR="00BD3721">
        <w:t xml:space="preserve">This means that individuals </w:t>
      </w:r>
      <w:r w:rsidR="00A377DC">
        <w:t>aged</w:t>
      </w:r>
      <w:r w:rsidR="00BD3721">
        <w:t xml:space="preserve"> 60 and over </w:t>
      </w:r>
      <w:r w:rsidR="00BD3721">
        <w:t>with normal serum K have 1</w:t>
      </w:r>
      <w:r w:rsidR="00BD3721">
        <w:t>3.8</w:t>
      </w:r>
      <w:r w:rsidR="00BD3721">
        <w:t xml:space="preserve">% higher odds of having CKD compared to individuals </w:t>
      </w:r>
      <w:r w:rsidR="006D1AB9">
        <w:t>age</w:t>
      </w:r>
      <w:r w:rsidR="00A377DC">
        <w:t>d</w:t>
      </w:r>
      <w:r w:rsidR="006D1AB9">
        <w:t xml:space="preserve"> 60 and over </w:t>
      </w:r>
      <w:r w:rsidR="00BD3721">
        <w:t>with low-normal serum K, though this increase was not statistically significant. We are 95% confident that the true odds ratio is between 0.</w:t>
      </w:r>
      <w:r w:rsidR="006D1AB9">
        <w:t>511</w:t>
      </w:r>
      <w:r w:rsidR="00BD3721">
        <w:t xml:space="preserve"> and 2.</w:t>
      </w:r>
      <w:r w:rsidR="006D1AB9">
        <w:t>534</w:t>
      </w:r>
      <w:r w:rsidR="00BD3721">
        <w:t xml:space="preserve">. This means that we are 95% confident that the odds of having CKD are somewhere between </w:t>
      </w:r>
      <w:r w:rsidR="00A377DC">
        <w:t>48.9</w:t>
      </w:r>
      <w:r w:rsidR="00BD3721">
        <w:t xml:space="preserve">% lower </w:t>
      </w:r>
      <w:r w:rsidR="00321BCE">
        <w:t>and</w:t>
      </w:r>
      <w:r w:rsidR="00BD3721">
        <w:t xml:space="preserve"> 1</w:t>
      </w:r>
      <w:r w:rsidR="00A377DC">
        <w:t>53</w:t>
      </w:r>
      <w:r w:rsidR="00BD3721">
        <w:t>.</w:t>
      </w:r>
      <w:r w:rsidR="00A377DC">
        <w:t>4</w:t>
      </w:r>
      <w:r w:rsidR="00BD3721">
        <w:t>% higher for individuals</w:t>
      </w:r>
      <w:r w:rsidR="00A377DC">
        <w:t xml:space="preserve"> aged 60 and over</w:t>
      </w:r>
      <w:r w:rsidR="00BD3721">
        <w:t xml:space="preserve"> with normal serum K compared to individuals </w:t>
      </w:r>
      <w:r w:rsidR="00A377DC">
        <w:t xml:space="preserve">aged 60 and over </w:t>
      </w:r>
      <w:r w:rsidR="00BD3721">
        <w:t>with low-normal serum K.</w:t>
      </w:r>
    </w:p>
    <w:p w14:paraId="55BA8F11" w14:textId="710F5F02" w:rsidR="00693118" w:rsidRDefault="00693118" w:rsidP="0042582D">
      <w:pPr>
        <w:pStyle w:val="ListParagraph"/>
        <w:ind w:left="0"/>
      </w:pPr>
    </w:p>
    <w:p w14:paraId="75BCB5C7" w14:textId="1DFE3831" w:rsidR="00693118" w:rsidRDefault="00693118" w:rsidP="0042582D">
      <w:pPr>
        <w:pStyle w:val="ListParagraph"/>
        <w:ind w:left="0"/>
      </w:pPr>
      <w:r>
        <w:t xml:space="preserve">For the participants aged under 60, the odds ratio was </w:t>
      </w:r>
      <w:r w:rsidR="004C7785">
        <w:t>0.75 with a 95% CI of (</w:t>
      </w:r>
      <w:r w:rsidR="00803142">
        <w:t>0.300, 1.873)</w:t>
      </w:r>
      <w:r w:rsidR="0012056D">
        <w:t xml:space="preserve">. </w:t>
      </w:r>
      <w:r w:rsidR="0012056D">
        <w:t>This means that individuals aged</w:t>
      </w:r>
      <w:r w:rsidR="0012056D">
        <w:t xml:space="preserve"> under</w:t>
      </w:r>
      <w:r w:rsidR="0012056D">
        <w:t xml:space="preserve"> 60 with normal serum K have </w:t>
      </w:r>
      <w:r w:rsidR="0012056D">
        <w:t>25</w:t>
      </w:r>
      <w:r w:rsidR="0012056D">
        <w:t xml:space="preserve">% </w:t>
      </w:r>
      <w:r w:rsidR="0012056D">
        <w:t>low</w:t>
      </w:r>
      <w:r w:rsidR="0012056D">
        <w:t xml:space="preserve">er odds of having CKD compared to individuals aged </w:t>
      </w:r>
      <w:r w:rsidR="0012056D">
        <w:t xml:space="preserve">under </w:t>
      </w:r>
      <w:r w:rsidR="0012056D">
        <w:t>60 with low-normal serum K, though this increase was not statistically significant. We are 95% confident that the true odds ratio is between 0.</w:t>
      </w:r>
      <w:r w:rsidR="00321BCE">
        <w:t>300</w:t>
      </w:r>
      <w:r w:rsidR="0012056D">
        <w:t xml:space="preserve"> and </w:t>
      </w:r>
      <w:r w:rsidR="00321BCE">
        <w:t>1.873</w:t>
      </w:r>
      <w:r w:rsidR="0012056D">
        <w:t xml:space="preserve">. This means that we are 95% confident that the odds of having CKD are somewhere between </w:t>
      </w:r>
      <w:r w:rsidR="00321BCE">
        <w:t>70</w:t>
      </w:r>
      <w:r w:rsidR="0012056D">
        <w:t xml:space="preserve">% lower </w:t>
      </w:r>
      <w:r w:rsidR="00321BCE">
        <w:t>and</w:t>
      </w:r>
      <w:r w:rsidR="0012056D">
        <w:t xml:space="preserve"> </w:t>
      </w:r>
      <w:r w:rsidR="00321BCE">
        <w:t>87.3</w:t>
      </w:r>
      <w:r w:rsidR="0012056D">
        <w:t xml:space="preserve">% higher for individuals aged </w:t>
      </w:r>
      <w:r w:rsidR="00321BCE">
        <w:t xml:space="preserve">under </w:t>
      </w:r>
      <w:r w:rsidR="0012056D">
        <w:t xml:space="preserve">60 with normal serum K compared to individuals aged </w:t>
      </w:r>
      <w:r w:rsidR="00321BCE">
        <w:t xml:space="preserve">under </w:t>
      </w:r>
      <w:r w:rsidR="0012056D">
        <w:t>60 with low-normal serum K.</w:t>
      </w:r>
    </w:p>
    <w:p w14:paraId="3CBE7842" w14:textId="72184840" w:rsidR="00E86565" w:rsidRDefault="00E86565" w:rsidP="0042582D">
      <w:pPr>
        <w:pStyle w:val="ListParagraph"/>
        <w:ind w:left="0"/>
      </w:pPr>
    </w:p>
    <w:p w14:paraId="2898BC02" w14:textId="05CE464E" w:rsidR="00E86565" w:rsidRDefault="00E86565" w:rsidP="0042582D">
      <w:pPr>
        <w:pStyle w:val="ListParagraph"/>
        <w:ind w:left="0"/>
      </w:pPr>
      <w:r>
        <w:t xml:space="preserve">These odds ratios </w:t>
      </w:r>
      <w:r w:rsidR="002D60D8">
        <w:t xml:space="preserve">are intriguing because there is a difference in the ratio after adjusting for age. The odds ratio for participants aged 60 and over </w:t>
      </w:r>
      <w:r w:rsidR="004B4710">
        <w:t xml:space="preserve">is similar to the odds ratio where we don’t account for age. This odds ratio </w:t>
      </w:r>
      <w:r w:rsidR="000A3A78">
        <w:t xml:space="preserve">does not go in the expected direction as we hypothesized in the beginning. However, the odds ratio for participants aged under 60 does agree with our hypothesis. </w:t>
      </w:r>
    </w:p>
    <w:p w14:paraId="4C24763D" w14:textId="2DD8EA50" w:rsidR="00CE6C96" w:rsidRDefault="00CE6C96" w:rsidP="0042582D">
      <w:pPr>
        <w:pStyle w:val="ListParagraph"/>
        <w:ind w:left="0"/>
      </w:pPr>
    </w:p>
    <w:p w14:paraId="75A1C4F8" w14:textId="6D574DFD" w:rsidR="00CE6C96" w:rsidRDefault="005C2711" w:rsidP="0042582D">
      <w:pPr>
        <w:pStyle w:val="ListParagraph"/>
        <w:ind w:left="0"/>
      </w:pPr>
      <w:r>
        <w:t xml:space="preserve">From the Mantel-Haenszel test, we found the MH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w:rPr>
            <w:rFonts w:ascii="Cambria Math" w:hAnsi="Cambria Math"/>
          </w:rPr>
          <m:t>=0.</m:t>
        </m:r>
        <m:r>
          <w:rPr>
            <w:rFonts w:ascii="Cambria Math" w:hAnsi="Cambria Math"/>
          </w:rPr>
          <m:t>0</m:t>
        </m:r>
        <m:r>
          <w:rPr>
            <w:rFonts w:ascii="Cambria Math" w:hAnsi="Cambria Math"/>
          </w:rPr>
          <m:t>29</m:t>
        </m:r>
      </m:oMath>
      <w:r w:rsidR="00355561">
        <w:rPr>
          <w:rFonts w:eastAsiaTheme="minorEastAsia"/>
        </w:rPr>
        <w:t xml:space="preserve"> and the p-value = 0.</w:t>
      </w:r>
      <w:r w:rsidR="00747614">
        <w:rPr>
          <w:rFonts w:eastAsiaTheme="minorEastAsia"/>
        </w:rPr>
        <w:t>866</w:t>
      </w:r>
      <w:r w:rsidR="00C20DF3">
        <w:rPr>
          <w:rFonts w:eastAsiaTheme="minorEastAsia"/>
        </w:rPr>
        <w:t xml:space="preserve"> after taking out the continuity correction</w:t>
      </w:r>
      <w:r w:rsidR="00355561">
        <w:rPr>
          <w:rFonts w:eastAsiaTheme="minorEastAsia"/>
        </w:rPr>
        <w:t xml:space="preserve">. Thus, </w:t>
      </w:r>
      <w:r w:rsidR="00355561">
        <w:rPr>
          <w:rFonts w:eastAsiaTheme="minorEastAsia"/>
        </w:rPr>
        <w:t>we fail</w:t>
      </w:r>
      <w:r w:rsidR="00E8290C">
        <w:rPr>
          <w:rFonts w:eastAsiaTheme="minorEastAsia"/>
        </w:rPr>
        <w:t>ed</w:t>
      </w:r>
      <w:r w:rsidR="00355561">
        <w:rPr>
          <w:rFonts w:eastAsiaTheme="minorEastAsia"/>
        </w:rPr>
        <w:t xml:space="preserve"> to reject the null hypothesis and concluded that there is no evidence against serum K and CKD being independent of each other</w:t>
      </w:r>
      <w:r w:rsidR="00E8290C">
        <w:rPr>
          <w:rFonts w:eastAsiaTheme="minorEastAsia"/>
        </w:rPr>
        <w:t xml:space="preserve"> after controlling for age</w:t>
      </w:r>
      <w:r w:rsidR="00355561">
        <w:rPr>
          <w:rFonts w:eastAsiaTheme="minorEastAsia"/>
        </w:rPr>
        <w:t>.</w:t>
      </w:r>
      <w:r w:rsidR="00E8290C">
        <w:rPr>
          <w:rFonts w:eastAsiaTheme="minorEastAsia"/>
        </w:rPr>
        <w:t xml:space="preserve"> Th</w:t>
      </w:r>
      <w:r w:rsidR="0091112D">
        <w:rPr>
          <w:rFonts w:eastAsiaTheme="minorEastAsia"/>
        </w:rPr>
        <w:t>is is the same conclusion as we had with the unadjusted results from the chi-squared test</w:t>
      </w:r>
      <w:r w:rsidR="002A0909">
        <w:rPr>
          <w:rFonts w:eastAsiaTheme="minorEastAsia"/>
        </w:rPr>
        <w:t>, but it seems even more clear now that serum K and CKD status are not associated.</w:t>
      </w:r>
    </w:p>
    <w:p w14:paraId="75E1E07E" w14:textId="77777777" w:rsidR="00047966" w:rsidRDefault="00D277AE" w:rsidP="00047966">
      <w:pPr>
        <w:pStyle w:val="Heading2"/>
      </w:pPr>
      <w:r>
        <w:t xml:space="preserve">Analysis </w:t>
      </w:r>
      <w:r w:rsidR="00047966">
        <w:t>Results for Aim 2</w:t>
      </w:r>
    </w:p>
    <w:p w14:paraId="0A17EE04" w14:textId="77777777" w:rsidR="00B419D0" w:rsidRDefault="00B419D0" w:rsidP="00B419D0">
      <w:pPr>
        <w:pStyle w:val="ListParagraph"/>
        <w:ind w:left="0"/>
      </w:pPr>
      <w:r>
        <w:t xml:space="preserve">In our sample, there were </w:t>
      </w:r>
      <w:r w:rsidRPr="003F2414">
        <w:t>64 individuals</w:t>
      </w:r>
      <w:r>
        <w:t xml:space="preserve"> that</w:t>
      </w:r>
      <w:r w:rsidRPr="003F2414">
        <w:t xml:space="preserve"> had CKD and 236 individuals </w:t>
      </w:r>
      <w:r>
        <w:t xml:space="preserve">that </w:t>
      </w:r>
      <w:r w:rsidRPr="003F2414">
        <w:t>did not have CKD.</w:t>
      </w:r>
      <w:r>
        <w:t xml:space="preserve"> We compared the variances using both the rule of thumb and the variance ratio test. </w:t>
      </w:r>
    </w:p>
    <w:p w14:paraId="5312BBCF" w14:textId="77777777" w:rsidR="00B419D0" w:rsidRDefault="00B419D0" w:rsidP="00B419D0">
      <w:pPr>
        <w:pStyle w:val="ListParagraph"/>
        <w:ind w:left="0"/>
      </w:pPr>
    </w:p>
    <w:p w14:paraId="10BBE26C" w14:textId="51B8C08F" w:rsidR="00B419D0" w:rsidRPr="00573545" w:rsidRDefault="00B419D0" w:rsidP="00B419D0">
      <w:pPr>
        <w:pStyle w:val="ListParagraph"/>
        <w:ind w:left="0"/>
      </w:pPr>
      <w:r w:rsidRPr="00573545">
        <w:t xml:space="preserve">For the rule of thumb, </w:t>
      </w:r>
      <w:r>
        <w:t>we</w:t>
      </w:r>
      <w:r w:rsidRPr="00573545">
        <w:t xml:space="preserve"> found that the ratio of the variances is 1.</w:t>
      </w:r>
      <w:r w:rsidR="007A2CC5">
        <w:t>09</w:t>
      </w:r>
      <w:r w:rsidRPr="00573545">
        <w:t xml:space="preserve">5 which is not greater than 3. </w:t>
      </w:r>
    </w:p>
    <w:p w14:paraId="12EA0422" w14:textId="1DDABC33" w:rsidR="00B419D0" w:rsidRDefault="00B419D0" w:rsidP="00B419D0">
      <w:pPr>
        <w:pStyle w:val="ListParagraph"/>
        <w:ind w:left="0"/>
      </w:pPr>
      <w:r w:rsidRPr="00573545">
        <w:t xml:space="preserve">For the variance ratio test, </w:t>
      </w:r>
      <w:r>
        <w:t>we</w:t>
      </w:r>
      <w:r w:rsidRPr="00573545">
        <w:t xml:space="preserve"> did a hypothesis test with the following steps:</w:t>
      </w:r>
    </w:p>
    <w:p w14:paraId="6B72BEE6" w14:textId="77777777" w:rsidR="00C12719" w:rsidRPr="00573545" w:rsidRDefault="00C12719" w:rsidP="00B419D0">
      <w:pPr>
        <w:pStyle w:val="ListParagraph"/>
        <w:ind w:left="0"/>
      </w:pPr>
    </w:p>
    <w:p w14:paraId="36AD36FD" w14:textId="77E867DD" w:rsidR="00B419D0" w:rsidRPr="00573545" w:rsidRDefault="00B419D0" w:rsidP="00B419D0">
      <w:pPr>
        <w:pStyle w:val="ListParagraph"/>
        <w:ind w:left="0"/>
      </w:pPr>
      <w:r w:rsidRPr="00573545">
        <w:t xml:space="preserve">Step 1: </w:t>
      </w:r>
      <w:r>
        <w:t>We</w:t>
      </w:r>
      <w:r w:rsidRPr="00573545">
        <w:t xml:space="preserve"> assumed that </w:t>
      </w:r>
      <w:r w:rsidR="00C12719">
        <w:t>dietary</w:t>
      </w:r>
      <w:r w:rsidRPr="00573545">
        <w:t xml:space="preserve"> K among CKD positive and CKD negative individuals </w:t>
      </w:r>
      <w:r w:rsidR="00657F3C">
        <w:t>are</w:t>
      </w:r>
      <w:r w:rsidRPr="00573545">
        <w:t xml:space="preserve"> independent and normally distributed. </w:t>
      </w:r>
    </w:p>
    <w:p w14:paraId="2E2348F3" w14:textId="344D3D59" w:rsidR="00B419D0" w:rsidRPr="00573545" w:rsidRDefault="00B419D0" w:rsidP="00B419D0">
      <w:pPr>
        <w:pStyle w:val="ListParagraph"/>
        <w:ind w:left="0"/>
        <w:rPr>
          <w:rFonts w:eastAsiaTheme="minorEastAsia"/>
        </w:rPr>
      </w:pPr>
      <w:r w:rsidRPr="00573545">
        <w:t xml:space="preserve">Step 2: </w:t>
      </w:r>
      <w:r>
        <w:t>We</w:t>
      </w:r>
      <w:r w:rsidRPr="00573545">
        <w:t xml:space="preserve"> set up </w:t>
      </w:r>
      <w:r>
        <w:t>our</w:t>
      </w:r>
      <w:r w:rsidRPr="00573545">
        <w:t xml:space="preserv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oMath>
      <w:r w:rsidRPr="00573545">
        <w:rPr>
          <w:rFonts w:eastAsiaTheme="minorEastAsia"/>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Pr="00573545">
        <w:rPr>
          <w:rFonts w:eastAsiaTheme="minorEastAsia"/>
        </w:rPr>
        <w:t xml:space="preserve"> is the population variance of </w:t>
      </w:r>
      <w:r w:rsidR="00657F3C">
        <w:rPr>
          <w:rFonts w:eastAsiaTheme="minorEastAsia"/>
        </w:rPr>
        <w:t>dietary</w:t>
      </w:r>
      <w:r w:rsidRPr="00573545">
        <w:rPr>
          <w:rFonts w:eastAsiaTheme="minorEastAsia"/>
        </w:rPr>
        <w:t xml:space="preserve"> K among CKD positive individuals and </w:t>
      </w:r>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573545">
        <w:rPr>
          <w:rFonts w:eastAsiaTheme="minorEastAsia"/>
        </w:rPr>
        <w:t xml:space="preserve"> is the population variance of </w:t>
      </w:r>
      <w:r w:rsidR="00657F3C">
        <w:rPr>
          <w:rFonts w:eastAsiaTheme="minorEastAsia"/>
        </w:rPr>
        <w:t>dietary</w:t>
      </w:r>
      <w:r w:rsidRPr="00573545">
        <w:rPr>
          <w:rFonts w:eastAsiaTheme="minorEastAsia"/>
        </w:rPr>
        <w:t xml:space="preserve"> K among CKD negative individuals.</w:t>
      </w:r>
    </w:p>
    <w:p w14:paraId="1AB25F3B" w14:textId="77777777" w:rsidR="00B419D0" w:rsidRPr="00573545" w:rsidRDefault="00B419D0" w:rsidP="00B419D0">
      <w:pPr>
        <w:pStyle w:val="ListParagraph"/>
        <w:ind w:left="0"/>
        <w:rPr>
          <w:rFonts w:eastAsiaTheme="minorEastAsia"/>
        </w:rPr>
      </w:pPr>
      <w:r w:rsidRPr="00573545">
        <w:rPr>
          <w:rFonts w:eastAsiaTheme="minorEastAsia"/>
        </w:rPr>
        <w:t xml:space="preserve">Step 3: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573545">
        <w:rPr>
          <w:rFonts w:eastAsiaTheme="minorEastAsia"/>
        </w:rPr>
        <w:t xml:space="preserve">, </w:t>
      </w:r>
      <m:oMath>
        <m:r>
          <w:rPr>
            <w:rFonts w:ascii="Cambria Math" w:eastAsiaTheme="minorEastAsia" w:hAnsi="Cambria Math"/>
          </w:rPr>
          <m:t xml:space="preserve">F=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ub>
        </m:sSub>
      </m:oMath>
    </w:p>
    <w:p w14:paraId="47FC22D0" w14:textId="05088938" w:rsidR="00B419D0" w:rsidRPr="00573545" w:rsidRDefault="00B419D0" w:rsidP="00B419D0">
      <w:pPr>
        <w:pStyle w:val="ListParagraph"/>
        <w:ind w:left="0"/>
        <w:rPr>
          <w:rFonts w:eastAsiaTheme="minorEastAsia"/>
        </w:rPr>
      </w:pPr>
      <w:r w:rsidRPr="00573545">
        <w:rPr>
          <w:rFonts w:eastAsiaTheme="minorEastAsia"/>
        </w:rPr>
        <w:t xml:space="preserve">Step 4: F = </w:t>
      </w:r>
      <m:oMath>
        <m:f>
          <m:fPr>
            <m:ctrlPr>
              <w:rPr>
                <w:rFonts w:ascii="Cambria Math" w:eastAsiaTheme="minorEastAsia" w:hAnsi="Cambria Math"/>
                <w:i/>
              </w:rPr>
            </m:ctrlPr>
          </m:fPr>
          <m:num>
            <m:r>
              <w:rPr>
                <w:rFonts w:ascii="Cambria Math" w:eastAsiaTheme="minorEastAsia" w:hAnsi="Cambria Math"/>
              </w:rPr>
              <m:t>158811.8</m:t>
            </m:r>
          </m:num>
          <m:den>
            <m:r>
              <w:rPr>
                <w:rFonts w:ascii="Cambria Math" w:eastAsiaTheme="minorEastAsia" w:hAnsi="Cambria Math"/>
              </w:rPr>
              <m:t>145000.6</m:t>
            </m:r>
          </m:den>
        </m:f>
        <m:r>
          <w:rPr>
            <w:rFonts w:ascii="Cambria Math" w:eastAsiaTheme="minorEastAsia" w:hAnsi="Cambria Math"/>
          </w:rPr>
          <m:t xml:space="preserve">=1.095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63, 235</m:t>
            </m:r>
          </m:sub>
        </m:sSub>
      </m:oMath>
      <w:r w:rsidRPr="00573545">
        <w:rPr>
          <w:rFonts w:eastAsiaTheme="minorEastAsia"/>
        </w:rPr>
        <w:t xml:space="preserve"> The p-value is 2 x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F&gt;1.095</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r>
          <w:rPr>
            <w:rFonts w:ascii="Cambria Math" w:eastAsiaTheme="minorEastAsia" w:hAnsi="Cambria Math"/>
          </w:rPr>
          <m:t>=0.621</m:t>
        </m:r>
      </m:oMath>
    </w:p>
    <w:p w14:paraId="2ED0713C" w14:textId="77777777" w:rsidR="00B419D0" w:rsidRPr="00573545" w:rsidRDefault="00B419D0" w:rsidP="00B419D0">
      <w:pPr>
        <w:pStyle w:val="ListParagraph"/>
        <w:ind w:left="0"/>
        <w:rPr>
          <w:rFonts w:eastAsiaTheme="minorEastAsia"/>
        </w:rPr>
      </w:pPr>
      <w:r w:rsidRPr="00573545">
        <w:rPr>
          <w:rFonts w:eastAsiaTheme="minorEastAsia"/>
        </w:rPr>
        <w:t xml:space="preserve">Step 5: Using an alpha level of 0.05, </w:t>
      </w:r>
      <w:r>
        <w:rPr>
          <w:rFonts w:eastAsiaTheme="minorEastAsia"/>
        </w:rPr>
        <w:t>we</w:t>
      </w:r>
      <w:r w:rsidRPr="00573545">
        <w:rPr>
          <w:rFonts w:eastAsiaTheme="minorEastAsia"/>
        </w:rPr>
        <w:t xml:space="preserve"> concluded that there is not enough evidence to say that the variances are different from each other.</w:t>
      </w:r>
    </w:p>
    <w:p w14:paraId="0D94E550" w14:textId="77777777" w:rsidR="00B419D0" w:rsidRPr="00573545" w:rsidRDefault="00B419D0" w:rsidP="00B419D0">
      <w:pPr>
        <w:pStyle w:val="ListParagraph"/>
        <w:ind w:left="0"/>
        <w:rPr>
          <w:rFonts w:eastAsiaTheme="minorEastAsia"/>
        </w:rPr>
      </w:pPr>
    </w:p>
    <w:p w14:paraId="242DF1BA" w14:textId="73A4DDDF" w:rsidR="00B419D0" w:rsidRDefault="00B419D0" w:rsidP="00B419D0">
      <w:pPr>
        <w:pStyle w:val="ListParagraph"/>
        <w:ind w:left="0"/>
        <w:rPr>
          <w:rFonts w:eastAsiaTheme="minorEastAsia"/>
        </w:rPr>
      </w:pPr>
      <w:r w:rsidRPr="00573545">
        <w:rPr>
          <w:rFonts w:eastAsiaTheme="minorEastAsia"/>
        </w:rPr>
        <w:t xml:space="preserve">Thus, </w:t>
      </w:r>
      <w:r>
        <w:rPr>
          <w:rFonts w:eastAsiaTheme="minorEastAsia"/>
        </w:rPr>
        <w:t>we</w:t>
      </w:r>
      <w:r w:rsidRPr="00573545">
        <w:rPr>
          <w:rFonts w:eastAsiaTheme="minorEastAsia"/>
        </w:rPr>
        <w:t xml:space="preserve"> chose to assume equal variances for the two-sample t-test. Since </w:t>
      </w:r>
      <w:r>
        <w:rPr>
          <w:rFonts w:eastAsiaTheme="minorEastAsia"/>
        </w:rPr>
        <w:t>we</w:t>
      </w:r>
      <w:r w:rsidRPr="00573545">
        <w:rPr>
          <w:rFonts w:eastAsiaTheme="minorEastAsia"/>
        </w:rPr>
        <w:t xml:space="preserve"> assume equal variances for the two-sample t-test, </w:t>
      </w:r>
      <w:r>
        <w:rPr>
          <w:rFonts w:eastAsiaTheme="minorEastAsia"/>
        </w:rPr>
        <w:t>we</w:t>
      </w:r>
      <w:r w:rsidRPr="00573545">
        <w:rPr>
          <w:rFonts w:eastAsiaTheme="minorEastAsia"/>
        </w:rPr>
        <w:t xml:space="preserve"> pooled the variances for the t-test using the following formula: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e>
            </m:d>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64-1</m:t>
                </m:r>
              </m:e>
            </m:d>
            <m:r>
              <w:rPr>
                <w:rFonts w:ascii="Cambria Math" w:eastAsiaTheme="minorEastAsia" w:hAnsi="Cambria Math"/>
              </w:rPr>
              <m:t>158811.8+</m:t>
            </m:r>
            <m:d>
              <m:dPr>
                <m:ctrlPr>
                  <w:rPr>
                    <w:rFonts w:ascii="Cambria Math" w:eastAsiaTheme="minorEastAsia" w:hAnsi="Cambria Math"/>
                    <w:i/>
                  </w:rPr>
                </m:ctrlPr>
              </m:dPr>
              <m:e>
                <m:r>
                  <w:rPr>
                    <w:rFonts w:ascii="Cambria Math" w:eastAsiaTheme="minorEastAsia" w:hAnsi="Cambria Math"/>
                  </w:rPr>
                  <m:t>236-1</m:t>
                </m:r>
              </m:e>
            </m:d>
            <m:r>
              <w:rPr>
                <w:rFonts w:ascii="Cambria Math" w:eastAsiaTheme="minorEastAsia" w:hAnsi="Cambria Math"/>
              </w:rPr>
              <m:t>145000.6</m:t>
            </m:r>
          </m:num>
          <m:den>
            <m:d>
              <m:dPr>
                <m:ctrlPr>
                  <w:rPr>
                    <w:rFonts w:ascii="Cambria Math" w:eastAsiaTheme="minorEastAsia" w:hAnsi="Cambria Math"/>
                    <w:i/>
                  </w:rPr>
                </m:ctrlPr>
              </m:dPr>
              <m:e>
                <m:r>
                  <w:rPr>
                    <w:rFonts w:ascii="Cambria Math" w:eastAsiaTheme="minorEastAsia" w:hAnsi="Cambria Math"/>
                  </w:rPr>
                  <m:t>64-1</m:t>
                </m:r>
              </m:e>
            </m:d>
            <m:r>
              <w:rPr>
                <w:rFonts w:ascii="Cambria Math" w:eastAsiaTheme="minorEastAsia" w:hAnsi="Cambria Math"/>
              </w:rPr>
              <m:t>+(236-1)</m:t>
            </m:r>
          </m:den>
        </m:f>
        <m:r>
          <w:rPr>
            <w:rFonts w:ascii="Cambria Math" w:eastAsiaTheme="minorEastAsia" w:hAnsi="Cambria Math"/>
          </w:rPr>
          <m:t>= 155892.0</m:t>
        </m:r>
      </m:oMath>
    </w:p>
    <w:p w14:paraId="119F20E0" w14:textId="77777777" w:rsidR="00B419D0" w:rsidRDefault="00B419D0" w:rsidP="00B419D0">
      <w:pPr>
        <w:pStyle w:val="ListParagraph"/>
        <w:ind w:left="0"/>
        <w:rPr>
          <w:rFonts w:eastAsiaTheme="minorEastAsia"/>
        </w:rPr>
      </w:pPr>
    </w:p>
    <w:p w14:paraId="20BCDC9C" w14:textId="2C8741AD" w:rsidR="00B419D0" w:rsidRDefault="00B419D0" w:rsidP="00B419D0">
      <w:pPr>
        <w:pStyle w:val="ListParagraph"/>
        <w:ind w:left="0"/>
        <w:rPr>
          <w:rFonts w:eastAsiaTheme="minorEastAsia"/>
        </w:rPr>
      </w:pPr>
      <w:r>
        <w:rPr>
          <w:rFonts w:eastAsiaTheme="minorEastAsia"/>
        </w:rPr>
        <w:t xml:space="preserve">Now that we had the pooled variance and knew the correct two-sample t-test formula to use, we ran our hypothesis test to compare mean </w:t>
      </w:r>
      <w:r w:rsidR="00A70C77">
        <w:rPr>
          <w:rFonts w:eastAsiaTheme="minorEastAsia"/>
        </w:rPr>
        <w:t>dietary</w:t>
      </w:r>
      <w:r>
        <w:rPr>
          <w:rFonts w:eastAsiaTheme="minorEastAsia"/>
        </w:rPr>
        <w:t xml:space="preserve"> K between individuals with and without CKD using the following steps:</w:t>
      </w:r>
    </w:p>
    <w:p w14:paraId="08681F19" w14:textId="77777777" w:rsidR="00B419D0" w:rsidRDefault="00B419D0" w:rsidP="00B419D0">
      <w:pPr>
        <w:pStyle w:val="ListParagraph"/>
        <w:ind w:left="0"/>
        <w:rPr>
          <w:rFonts w:eastAsiaTheme="minorEastAsia"/>
        </w:rPr>
      </w:pPr>
    </w:p>
    <w:p w14:paraId="1D7DAE11" w14:textId="5B7B3FEF" w:rsidR="00B419D0" w:rsidRPr="00C7705E" w:rsidRDefault="00B419D0" w:rsidP="00B419D0">
      <w:pPr>
        <w:pStyle w:val="ListParagraph"/>
        <w:ind w:left="0"/>
        <w:rPr>
          <w:rFonts w:eastAsiaTheme="minorEastAsia"/>
        </w:rPr>
      </w:pPr>
      <w:r w:rsidRPr="00C7705E">
        <w:t xml:space="preserve">Step 1: </w:t>
      </w:r>
      <w:r>
        <w:t>We</w:t>
      </w:r>
      <w:r w:rsidRPr="00C7705E">
        <w:t xml:space="preserve"> assumed that the two populations are independent, that </w:t>
      </w:r>
      <w:r w:rsidR="00A70C77">
        <w:t>dietary</w:t>
      </w:r>
      <w:r w:rsidRPr="00C7705E">
        <w:t xml:space="preserve"> K among CKD positive individuals ~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oMath>
      <w:r w:rsidRPr="00C7705E">
        <w:rPr>
          <w:rFonts w:eastAsiaTheme="minorEastAsia"/>
        </w:rPr>
        <w:t xml:space="preserve"> and that </w:t>
      </w:r>
      <w:r w:rsidR="00A70C77">
        <w:rPr>
          <w:rFonts w:eastAsiaTheme="minorEastAsia"/>
        </w:rPr>
        <w:t>dietary</w:t>
      </w:r>
      <w:r w:rsidRPr="00C7705E">
        <w:rPr>
          <w:rFonts w:eastAsiaTheme="minorEastAsia"/>
        </w:rPr>
        <w:t xml:space="preserve"> K among CKD negative individuals </w:t>
      </w:r>
      <w:r w:rsidRPr="00C7705E">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oMath>
      <w:r w:rsidRPr="00C7705E">
        <w:rPr>
          <w:rFonts w:eastAsiaTheme="minorEastAsia"/>
        </w:rPr>
        <w:t>.</w:t>
      </w:r>
    </w:p>
    <w:p w14:paraId="798B8D8D" w14:textId="7764D281" w:rsidR="00B419D0" w:rsidRPr="00C7705E" w:rsidRDefault="00B419D0" w:rsidP="00B419D0">
      <w:pPr>
        <w:pStyle w:val="ListParagraph"/>
        <w:ind w:left="0"/>
        <w:rPr>
          <w:rFonts w:eastAsiaTheme="minorEastAsia"/>
        </w:rPr>
      </w:pPr>
      <w:r w:rsidRPr="00C7705E">
        <w:t xml:space="preserve">Step 2: </w:t>
      </w:r>
      <w:r>
        <w:t>We</w:t>
      </w:r>
      <w:r w:rsidRPr="00C7705E">
        <w:t xml:space="preserve"> set up </w:t>
      </w:r>
      <w:r>
        <w:t>our</w:t>
      </w:r>
      <w:r w:rsidRPr="00C7705E">
        <w:t xml:space="preserv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δ=0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δ≠0</m:t>
        </m:r>
      </m:oMath>
      <w:r w:rsidRPr="00C7705E">
        <w:rPr>
          <w:rFonts w:eastAsiaTheme="minorEastAsia"/>
        </w:rPr>
        <w:t xml:space="preserve"> where </w:t>
      </w:r>
      <m:oMath>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Pr="00C7705E">
        <w:rPr>
          <w:rFonts w:eastAsiaTheme="minorEastAsia"/>
        </w:rPr>
        <w:t xml:space="preserve"> is the unknown difference in mean </w:t>
      </w:r>
      <w:r w:rsidR="00A70C77">
        <w:rPr>
          <w:rFonts w:eastAsiaTheme="minorEastAsia"/>
        </w:rPr>
        <w:t>dietary</w:t>
      </w:r>
      <w:r w:rsidRPr="00C7705E">
        <w:rPr>
          <w:rFonts w:eastAsiaTheme="minorEastAsia"/>
        </w:rPr>
        <w:t xml:space="preserve"> K between CKD positive individuals and CKD negative individuals.</w:t>
      </w:r>
    </w:p>
    <w:p w14:paraId="79C25015" w14:textId="77777777" w:rsidR="00B419D0" w:rsidRPr="00C7705E" w:rsidRDefault="00B419D0" w:rsidP="00B419D0">
      <w:pPr>
        <w:pStyle w:val="ListParagraph"/>
        <w:ind w:left="0"/>
        <w:rPr>
          <w:rFonts w:eastAsiaTheme="minorEastAsia"/>
        </w:rPr>
      </w:pPr>
      <w:r w:rsidRPr="00C7705E">
        <w:rPr>
          <w:rFonts w:eastAsiaTheme="minorEastAsia"/>
        </w:rPr>
        <w:t xml:space="preserve">Step 3: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type m:val="skw"/>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type m:val="skw"/>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 xml:space="preserve"> </m:t>
                </m:r>
              </m:e>
            </m:rad>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m:t>
            </m:r>
          </m:sub>
        </m:sSub>
      </m:oMath>
      <w:r w:rsidRPr="00C7705E">
        <w:rPr>
          <w:rFonts w:eastAsiaTheme="minorEastAsia"/>
        </w:rPr>
        <w:t xml:space="preserve"> </w:t>
      </w:r>
    </w:p>
    <w:p w14:paraId="2E872B31" w14:textId="49BA6FA0" w:rsidR="00B419D0" w:rsidRPr="00C7705E" w:rsidRDefault="00B419D0" w:rsidP="00B419D0">
      <w:pPr>
        <w:pStyle w:val="ListParagraph"/>
        <w:ind w:left="0"/>
        <w:rPr>
          <w:rFonts w:eastAsiaTheme="minorEastAsia"/>
        </w:rPr>
      </w:pPr>
      <w:r w:rsidRPr="00C7705E">
        <w:rPr>
          <w:rFonts w:eastAsiaTheme="minorEastAsia"/>
        </w:rPr>
        <w:t xml:space="preserve">Step 4: T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1267.03-1274.52</m:t>
                </m:r>
              </m:e>
            </m:d>
            <m:r>
              <w:rPr>
                <w:rFonts w:ascii="Cambria Math" w:eastAsiaTheme="minorEastAsia" w:hAnsi="Cambria Math"/>
              </w:rPr>
              <m:t>-0</m:t>
            </m:r>
          </m:num>
          <m:den>
            <m:rad>
              <m:radPr>
                <m:degHide m:val="1"/>
                <m:ctrlPr>
                  <w:rPr>
                    <w:rFonts w:ascii="Cambria Math" w:eastAsiaTheme="minorEastAsia" w:hAnsi="Cambria Math"/>
                    <w:i/>
                  </w:rPr>
                </m:ctrlPr>
              </m:radPr>
              <m:deg/>
              <m:e>
                <m:f>
                  <m:fPr>
                    <m:type m:val="skw"/>
                    <m:ctrlPr>
                      <w:rPr>
                        <w:rFonts w:ascii="Cambria Math" w:eastAsiaTheme="minorEastAsia" w:hAnsi="Cambria Math"/>
                        <w:i/>
                      </w:rPr>
                    </m:ctrlPr>
                  </m:fPr>
                  <m:num>
                    <m:r>
                      <w:rPr>
                        <w:rFonts w:ascii="Cambria Math" w:eastAsiaTheme="minorEastAsia" w:hAnsi="Cambria Math"/>
                      </w:rPr>
                      <m:t>155892.0</m:t>
                    </m:r>
                  </m:num>
                  <m:den>
                    <m:r>
                      <w:rPr>
                        <w:rFonts w:ascii="Cambria Math" w:eastAsiaTheme="minorEastAsia" w:hAnsi="Cambria Math"/>
                      </w:rPr>
                      <m:t>64</m:t>
                    </m:r>
                  </m:den>
                </m:f>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155892.0</m:t>
                    </m:r>
                  </m:num>
                  <m:den>
                    <m:r>
                      <w:rPr>
                        <w:rFonts w:ascii="Cambria Math" w:eastAsiaTheme="minorEastAsia" w:hAnsi="Cambria Math"/>
                      </w:rPr>
                      <m:t>236</m:t>
                    </m:r>
                  </m:den>
                </m:f>
              </m:e>
            </m:rad>
          </m:den>
        </m:f>
        <m:r>
          <w:rPr>
            <w:rFonts w:ascii="Cambria Math" w:eastAsiaTheme="minorEastAsia" w:hAnsi="Cambria Math"/>
          </w:rPr>
          <m:t>=-0.135</m:t>
        </m:r>
      </m:oMath>
    </w:p>
    <w:p w14:paraId="1290D07E" w14:textId="2CDD2801" w:rsidR="00B419D0" w:rsidRPr="00C7705E" w:rsidRDefault="00B419D0" w:rsidP="00B419D0">
      <w:pPr>
        <w:pStyle w:val="ListParagraph"/>
        <w:ind w:left="0"/>
        <w:rPr>
          <w:rFonts w:eastAsiaTheme="minorEastAsia"/>
        </w:rPr>
      </w:pPr>
      <w:r w:rsidRPr="00C7705E">
        <w:rPr>
          <w:rFonts w:eastAsiaTheme="minorEastAsia"/>
        </w:rPr>
        <w:t xml:space="preserve">The p-value is 2 x P(T </w:t>
      </w:r>
      <w:r w:rsidR="00204F17">
        <w:rPr>
          <w:rFonts w:eastAsiaTheme="minorEastAsia"/>
        </w:rPr>
        <w:t>&lt;</w:t>
      </w:r>
      <w:r w:rsidRPr="00C7705E">
        <w:rPr>
          <w:rFonts w:eastAsiaTheme="minorEastAsia"/>
        </w:rPr>
        <w:t xml:space="preserve"> </w:t>
      </w:r>
      <w:r w:rsidR="00204F17">
        <w:rPr>
          <w:rFonts w:eastAsiaTheme="minorEastAsia"/>
        </w:rPr>
        <w:t>-</w:t>
      </w:r>
      <w:r w:rsidRPr="00C7705E">
        <w:rPr>
          <w:rFonts w:eastAsiaTheme="minorEastAsia"/>
        </w:rPr>
        <w:t>0.</w:t>
      </w:r>
      <w:r w:rsidR="00204F17">
        <w:rPr>
          <w:rFonts w:eastAsiaTheme="minorEastAsia"/>
        </w:rPr>
        <w:t>135</w:t>
      </w:r>
      <w:r w:rsidRPr="00C7705E">
        <w:rPr>
          <w:rFonts w:eastAsiaTheme="minorEastAsia"/>
        </w:rPr>
        <w:t>) = 0.</w:t>
      </w:r>
      <w:r w:rsidR="00204F17">
        <w:rPr>
          <w:rFonts w:eastAsiaTheme="minorEastAsia"/>
        </w:rPr>
        <w:t>893</w:t>
      </w:r>
    </w:p>
    <w:p w14:paraId="589B3582" w14:textId="197B020A" w:rsidR="00B419D0" w:rsidRDefault="00B419D0" w:rsidP="00B419D0">
      <w:pPr>
        <w:pStyle w:val="ListParagraph"/>
        <w:ind w:left="0"/>
        <w:rPr>
          <w:rFonts w:eastAsiaTheme="minorEastAsia"/>
        </w:rPr>
      </w:pPr>
      <w:r w:rsidRPr="00C7705E">
        <w:rPr>
          <w:rFonts w:eastAsiaTheme="minorEastAsia"/>
        </w:rPr>
        <w:t xml:space="preserve">Step 5: Using an alpha level of 0.05, </w:t>
      </w:r>
      <w:r>
        <w:rPr>
          <w:rFonts w:eastAsiaTheme="minorEastAsia"/>
        </w:rPr>
        <w:t>we</w:t>
      </w:r>
      <w:r w:rsidRPr="00C7705E">
        <w:rPr>
          <w:rFonts w:eastAsiaTheme="minorEastAsia"/>
        </w:rPr>
        <w:t xml:space="preserve"> concluded that there is not sufficient evidence to say that mean </w:t>
      </w:r>
      <w:r w:rsidR="00877EE2">
        <w:rPr>
          <w:rFonts w:eastAsiaTheme="minorEastAsia"/>
        </w:rPr>
        <w:t>dietary</w:t>
      </w:r>
      <w:r w:rsidRPr="00C7705E">
        <w:rPr>
          <w:rFonts w:eastAsiaTheme="minorEastAsia"/>
        </w:rPr>
        <w:t xml:space="preserve"> K is different between CKD positive and CKD negative individuals.</w:t>
      </w:r>
    </w:p>
    <w:p w14:paraId="55609DDB" w14:textId="77777777" w:rsidR="00B419D0" w:rsidRDefault="00B419D0" w:rsidP="00B419D0">
      <w:pPr>
        <w:pStyle w:val="ListParagraph"/>
        <w:ind w:left="0"/>
        <w:rPr>
          <w:rFonts w:eastAsiaTheme="minorEastAsia"/>
        </w:rPr>
      </w:pPr>
    </w:p>
    <w:p w14:paraId="7694CE65" w14:textId="5E67F608" w:rsidR="00B419D0" w:rsidRDefault="00B419D0" w:rsidP="00B419D0">
      <w:pPr>
        <w:pStyle w:val="ListParagraph"/>
        <w:ind w:left="0"/>
      </w:pPr>
      <w:r w:rsidRPr="008672B6">
        <w:t xml:space="preserve">In the context of the problem, the t-test results mean that there is no association between CKD status and </w:t>
      </w:r>
      <w:r w:rsidR="00877EE2">
        <w:t>dietary</w:t>
      </w:r>
      <w:r w:rsidRPr="008672B6">
        <w:t xml:space="preserve"> K. </w:t>
      </w:r>
      <w:r>
        <w:t>We</w:t>
      </w:r>
      <w:r w:rsidRPr="008672B6">
        <w:t xml:space="preserve"> hypothesized that higher </w:t>
      </w:r>
      <w:r w:rsidR="00877EE2">
        <w:t>dietary</w:t>
      </w:r>
      <w:r w:rsidRPr="008672B6">
        <w:t xml:space="preserve"> K would be associated with CKD negative status, however, there was no significant difference in mean </w:t>
      </w:r>
      <w:r w:rsidR="00877EE2">
        <w:t>dietary</w:t>
      </w:r>
      <w:r w:rsidRPr="008672B6">
        <w:t xml:space="preserve"> K between CKD positive and CKD negative individuals, so the results do not align with </w:t>
      </w:r>
      <w:r>
        <w:t>our</w:t>
      </w:r>
      <w:r w:rsidRPr="008672B6">
        <w:t xml:space="preserve"> hypothesis.</w:t>
      </w:r>
    </w:p>
    <w:p w14:paraId="45BEF1DA" w14:textId="77777777" w:rsidR="00B419D0" w:rsidRPr="008672B6" w:rsidRDefault="00B419D0" w:rsidP="00B419D0">
      <w:pPr>
        <w:pStyle w:val="ListParagraph"/>
        <w:ind w:left="0"/>
      </w:pPr>
    </w:p>
    <w:p w14:paraId="49510718" w14:textId="79B6C25F" w:rsidR="00B419D0" w:rsidRPr="008672B6" w:rsidRDefault="00B419D0" w:rsidP="00B419D0">
      <w:pPr>
        <w:pStyle w:val="ListParagraph"/>
        <w:ind w:left="0"/>
      </w:pPr>
      <w:r w:rsidRPr="008672B6">
        <w:t xml:space="preserve">The 95% confidence interval </w:t>
      </w:r>
      <w:r>
        <w:t xml:space="preserve">for this aim </w:t>
      </w:r>
      <w:r w:rsidRPr="008672B6">
        <w:t>was (-</w:t>
      </w:r>
      <w:r w:rsidR="00611D3F">
        <w:t>117.00</w:t>
      </w:r>
      <w:r w:rsidRPr="008672B6">
        <w:t xml:space="preserve">, </w:t>
      </w:r>
      <w:r w:rsidR="00611D3F">
        <w:t>102.02</w:t>
      </w:r>
      <w:r w:rsidRPr="008672B6">
        <w:t xml:space="preserve">). We are 95% confident that the true mean difference in </w:t>
      </w:r>
      <w:r w:rsidR="00611D3F">
        <w:t>dietary</w:t>
      </w:r>
      <w:r w:rsidRPr="008672B6">
        <w:t xml:space="preserve"> K between CKD positive and CKD negative individuals is between </w:t>
      </w:r>
    </w:p>
    <w:p w14:paraId="448A07D3" w14:textId="046CB6F4" w:rsidR="00B419D0" w:rsidRDefault="00B419D0" w:rsidP="00B419D0">
      <w:pPr>
        <w:pStyle w:val="ListParagraph"/>
        <w:ind w:left="0"/>
      </w:pPr>
      <w:r w:rsidRPr="008672B6">
        <w:t>-</w:t>
      </w:r>
      <w:r w:rsidR="00611D3F">
        <w:t>117.00</w:t>
      </w:r>
      <w:r w:rsidRPr="008672B6">
        <w:t xml:space="preserve"> and </w:t>
      </w:r>
      <w:r w:rsidR="00611D3F">
        <w:t>1</w:t>
      </w:r>
      <w:r w:rsidRPr="008672B6">
        <w:t>0</w:t>
      </w:r>
      <w:r w:rsidR="00611D3F">
        <w:t>2</w:t>
      </w:r>
      <w:r w:rsidRPr="008672B6">
        <w:t>.</w:t>
      </w:r>
      <w:r w:rsidR="00611D3F">
        <w:t>0</w:t>
      </w:r>
      <w:r w:rsidRPr="008672B6">
        <w:t>2.</w:t>
      </w:r>
    </w:p>
    <w:p w14:paraId="59B373A6" w14:textId="54688C4F" w:rsidR="00050ED7" w:rsidRDefault="00050ED7" w:rsidP="00B419D0">
      <w:pPr>
        <w:pStyle w:val="ListParagraph"/>
        <w:ind w:left="0"/>
      </w:pPr>
    </w:p>
    <w:p w14:paraId="05D0E5A3" w14:textId="18B5D7AB" w:rsidR="00050ED7" w:rsidRDefault="00050ED7" w:rsidP="00050ED7">
      <w:pPr>
        <w:pStyle w:val="ListParagraph"/>
        <w:ind w:left="0"/>
      </w:pPr>
      <w:r>
        <w:t xml:space="preserve">Next, we conducted a chi-squared test to see if there is an association between </w:t>
      </w:r>
      <w:r w:rsidR="00541251">
        <w:t>dietary</w:t>
      </w:r>
      <w:r>
        <w:t xml:space="preserve"> K and CKD. We chose a chi-squared test because the sample size in each group (</w:t>
      </w:r>
      <w:r w:rsidR="00541251">
        <w:t xml:space="preserve">inadequate dietary </w:t>
      </w:r>
      <w:r>
        <w:t xml:space="preserve">K and CKD positive, </w:t>
      </w:r>
      <w:r w:rsidR="003E1D1B">
        <w:t>borderline adequate or adequate</w:t>
      </w:r>
      <w:r>
        <w:t xml:space="preserve"> </w:t>
      </w:r>
      <w:r w:rsidR="003E1D1B">
        <w:t>dietary</w:t>
      </w:r>
      <w:r>
        <w:t xml:space="preserve"> K and CKD positive, etc.) was greater than 5.</w:t>
      </w:r>
    </w:p>
    <w:p w14:paraId="3A065789" w14:textId="77777777" w:rsidR="00050ED7" w:rsidRDefault="00050ED7" w:rsidP="00050ED7">
      <w:pPr>
        <w:pStyle w:val="ListParagraph"/>
        <w:ind w:left="0"/>
      </w:pPr>
    </w:p>
    <w:p w14:paraId="2058FAE3" w14:textId="10495AB6" w:rsidR="00050ED7" w:rsidRDefault="00050ED7" w:rsidP="00050ED7">
      <w:pPr>
        <w:pStyle w:val="ListParagraph"/>
        <w:ind w:left="0"/>
      </w:pPr>
      <w:r>
        <w:t>The results of the chi-squared test w</w:t>
      </w:r>
      <w:r w:rsidR="00A006A8">
        <w:t>ere</w:t>
      </w:r>
      <w:r>
        <w:t xml:space="preserve"> that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w:rPr>
            <w:rFonts w:ascii="Cambria Math" w:hAnsi="Cambria Math"/>
          </w:rPr>
          <m:t>=0.</m:t>
        </m:r>
        <m:r>
          <w:rPr>
            <w:rFonts w:ascii="Cambria Math" w:hAnsi="Cambria Math"/>
          </w:rPr>
          <m:t>008</m:t>
        </m:r>
      </m:oMath>
      <w:r>
        <w:rPr>
          <w:rFonts w:eastAsiaTheme="minorEastAsia"/>
        </w:rPr>
        <w:t xml:space="preserve"> and the p-value = 0.</w:t>
      </w:r>
      <w:r w:rsidR="00643EEF">
        <w:rPr>
          <w:rFonts w:eastAsiaTheme="minorEastAsia"/>
        </w:rPr>
        <w:t>928</w:t>
      </w:r>
      <w:r>
        <w:rPr>
          <w:rFonts w:eastAsiaTheme="minorEastAsia"/>
        </w:rPr>
        <w:t xml:space="preserve">. So, we failed to reject the null hypothesis and concluded that there is no evidence against </w:t>
      </w:r>
      <w:r w:rsidR="00643EEF">
        <w:rPr>
          <w:rFonts w:eastAsiaTheme="minorEastAsia"/>
        </w:rPr>
        <w:t>dietary</w:t>
      </w:r>
      <w:r>
        <w:rPr>
          <w:rFonts w:eastAsiaTheme="minorEastAsia"/>
        </w:rPr>
        <w:t xml:space="preserve"> K and CKD being independent of each other.</w:t>
      </w:r>
    </w:p>
    <w:p w14:paraId="109DA152" w14:textId="77777777" w:rsidR="00050ED7" w:rsidRDefault="00050ED7" w:rsidP="00050ED7">
      <w:pPr>
        <w:pStyle w:val="ListParagraph"/>
        <w:ind w:left="0"/>
      </w:pPr>
    </w:p>
    <w:p w14:paraId="0A428BE0" w14:textId="0A8EA046" w:rsidR="00050ED7" w:rsidRDefault="00050ED7" w:rsidP="00050ED7">
      <w:pPr>
        <w:pStyle w:val="ListParagraph"/>
        <w:ind w:left="0"/>
      </w:pPr>
      <w:r>
        <w:t>The relative risk was 1.</w:t>
      </w:r>
      <w:r w:rsidR="00E6155D">
        <w:t>026</w:t>
      </w:r>
      <w:r>
        <w:t xml:space="preserve"> with a 95% CI of (0.</w:t>
      </w:r>
      <w:r w:rsidR="004A651F">
        <w:t>591</w:t>
      </w:r>
      <w:r>
        <w:t>, 1.7</w:t>
      </w:r>
      <w:r w:rsidR="00A006A8">
        <w:t>7</w:t>
      </w:r>
      <w:r>
        <w:t xml:space="preserve">9). This means that individuals with </w:t>
      </w:r>
      <w:r w:rsidR="001B3C9B">
        <w:t>borderline adequate or adequate</w:t>
      </w:r>
      <w:r>
        <w:t xml:space="preserve"> </w:t>
      </w:r>
      <w:r w:rsidR="001B3C9B">
        <w:t>dietary</w:t>
      </w:r>
      <w:r>
        <w:t xml:space="preserve"> K have </w:t>
      </w:r>
      <w:r w:rsidR="001B3C9B">
        <w:t>2.6</w:t>
      </w:r>
      <w:r>
        <w:t xml:space="preserve">% increased risk of having CKD compared to individuals with </w:t>
      </w:r>
      <w:r w:rsidR="001B3C9B">
        <w:t>inadequate</w:t>
      </w:r>
      <w:r>
        <w:t xml:space="preserve"> </w:t>
      </w:r>
      <w:r w:rsidR="001B3C9B">
        <w:t>dietary</w:t>
      </w:r>
      <w:r>
        <w:t xml:space="preserve"> K, though this increase was not statistically significant. We are 95% confident that the true relative risk is between 0.</w:t>
      </w:r>
      <w:r w:rsidR="001B3C9B">
        <w:t>591</w:t>
      </w:r>
      <w:r>
        <w:t xml:space="preserve"> and 1.</w:t>
      </w:r>
      <w:r w:rsidR="001B3C9B">
        <w:t>7</w:t>
      </w:r>
      <w:r>
        <w:t xml:space="preserve">79. This means that we are 95% confident that the risk for individuals with </w:t>
      </w:r>
      <w:r w:rsidR="001B3C9B">
        <w:t>borderline adequate or adequate</w:t>
      </w:r>
      <w:r>
        <w:t xml:space="preserve"> </w:t>
      </w:r>
      <w:r w:rsidR="001B3C9B">
        <w:t>dietary</w:t>
      </w:r>
      <w:r>
        <w:t xml:space="preserve"> K to have CKD is between </w:t>
      </w:r>
      <w:r w:rsidR="00911215">
        <w:t>40.9</w:t>
      </w:r>
      <w:r>
        <w:t xml:space="preserve">% lower than individuals with </w:t>
      </w:r>
      <w:r w:rsidR="00911215">
        <w:t>inadequate</w:t>
      </w:r>
      <w:r>
        <w:t xml:space="preserve"> </w:t>
      </w:r>
      <w:r w:rsidR="00911215">
        <w:t>dietary</w:t>
      </w:r>
      <w:r>
        <w:t xml:space="preserve"> K and 7</w:t>
      </w:r>
      <w:r w:rsidR="00911215">
        <w:t>7.</w:t>
      </w:r>
      <w:r>
        <w:t xml:space="preserve">9% higher than individuals with </w:t>
      </w:r>
      <w:r w:rsidR="00911215">
        <w:t>inadequate</w:t>
      </w:r>
      <w:r>
        <w:t xml:space="preserve"> </w:t>
      </w:r>
      <w:r w:rsidR="00911215">
        <w:t>dietary</w:t>
      </w:r>
      <w:r>
        <w:t xml:space="preserve"> K.</w:t>
      </w:r>
    </w:p>
    <w:p w14:paraId="35FCD5FC" w14:textId="77777777" w:rsidR="00050ED7" w:rsidRDefault="00050ED7" w:rsidP="00050ED7">
      <w:pPr>
        <w:pStyle w:val="ListParagraph"/>
        <w:ind w:left="0"/>
      </w:pPr>
    </w:p>
    <w:p w14:paraId="3FA9F492" w14:textId="1676B204" w:rsidR="00050ED7" w:rsidRDefault="00050ED7" w:rsidP="00050ED7">
      <w:pPr>
        <w:pStyle w:val="ListParagraph"/>
        <w:ind w:left="0"/>
      </w:pPr>
      <w:r>
        <w:t>The odds ratio was 1.</w:t>
      </w:r>
      <w:r w:rsidR="00CC2580">
        <w:t>033</w:t>
      </w:r>
      <w:r>
        <w:t xml:space="preserve"> with a 95% CI of (0.</w:t>
      </w:r>
      <w:r w:rsidR="00D17E14">
        <w:t>514</w:t>
      </w:r>
      <w:r>
        <w:t>, 2.0</w:t>
      </w:r>
      <w:r w:rsidR="00E21144">
        <w:t>78</w:t>
      </w:r>
      <w:r>
        <w:t xml:space="preserve">). This means that individuals with </w:t>
      </w:r>
      <w:r w:rsidR="00E21144">
        <w:t>borderline adequate or adequate</w:t>
      </w:r>
      <w:r>
        <w:t xml:space="preserve"> </w:t>
      </w:r>
      <w:r w:rsidR="00E21144">
        <w:t>dietary</w:t>
      </w:r>
      <w:r>
        <w:t xml:space="preserve"> K have </w:t>
      </w:r>
      <w:r w:rsidR="00E21144">
        <w:t>3.3</w:t>
      </w:r>
      <w:r>
        <w:t xml:space="preserve">% higher odds of having CKD compared to individuals with </w:t>
      </w:r>
      <w:r w:rsidR="00E21144">
        <w:t>inadequate</w:t>
      </w:r>
      <w:r>
        <w:t xml:space="preserve"> </w:t>
      </w:r>
      <w:r w:rsidR="00E21144">
        <w:t>dietary</w:t>
      </w:r>
      <w:r>
        <w:t xml:space="preserve"> K, though this increase was not statistically significant. We are 95% confident that the true odds ratio is between 0.</w:t>
      </w:r>
      <w:r w:rsidR="00E21144">
        <w:t>514</w:t>
      </w:r>
      <w:r>
        <w:t xml:space="preserve"> and 2.</w:t>
      </w:r>
      <w:r w:rsidR="00E21144">
        <w:t>078</w:t>
      </w:r>
      <w:r>
        <w:t xml:space="preserve">. This means that we are 95% confident that the odds of having CKD are somewhere between </w:t>
      </w:r>
      <w:r w:rsidR="00E21144">
        <w:t>48</w:t>
      </w:r>
      <w:r>
        <w:t>.</w:t>
      </w:r>
      <w:r w:rsidR="00E21144">
        <w:t>6</w:t>
      </w:r>
      <w:r>
        <w:t>% lower and 10</w:t>
      </w:r>
      <w:r w:rsidR="00E21144">
        <w:t>7</w:t>
      </w:r>
      <w:r>
        <w:t>.</w:t>
      </w:r>
      <w:r w:rsidR="00E21144">
        <w:t>8</w:t>
      </w:r>
      <w:r>
        <w:t xml:space="preserve">% higher for individuals with </w:t>
      </w:r>
      <w:r w:rsidR="00E21144">
        <w:t>borderline adequate or adequate</w:t>
      </w:r>
      <w:r>
        <w:t xml:space="preserve"> </w:t>
      </w:r>
      <w:r w:rsidR="00E21144">
        <w:t>dietary</w:t>
      </w:r>
      <w:r>
        <w:t xml:space="preserve"> K compared to individuals with </w:t>
      </w:r>
      <w:r w:rsidR="00F36C0C">
        <w:t>inadequate</w:t>
      </w:r>
      <w:r>
        <w:t xml:space="preserve"> </w:t>
      </w:r>
      <w:r w:rsidR="00F36C0C">
        <w:t>dietary</w:t>
      </w:r>
      <w:r>
        <w:t xml:space="preserve"> K.</w:t>
      </w:r>
    </w:p>
    <w:p w14:paraId="76185E93" w14:textId="77777777" w:rsidR="00050ED7" w:rsidRDefault="00050ED7" w:rsidP="00050ED7">
      <w:pPr>
        <w:pStyle w:val="ListParagraph"/>
        <w:ind w:left="0"/>
      </w:pPr>
    </w:p>
    <w:p w14:paraId="1FF12FEE" w14:textId="7B0B7C5B" w:rsidR="00050ED7" w:rsidRDefault="00050ED7" w:rsidP="00050ED7">
      <w:pPr>
        <w:pStyle w:val="ListParagraph"/>
        <w:ind w:left="0"/>
      </w:pPr>
      <w:r>
        <w:t xml:space="preserve">Looking back at our research hypothesis, the relative risk and odds ratio were not in the expected direction. Instead, higher </w:t>
      </w:r>
      <w:r w:rsidR="006723D5">
        <w:t>dietary</w:t>
      </w:r>
      <w:r>
        <w:t xml:space="preserve"> K is associated with greater risk and odds of having CKD.</w:t>
      </w:r>
    </w:p>
    <w:p w14:paraId="02C88120" w14:textId="77777777" w:rsidR="00050ED7" w:rsidRDefault="00050ED7" w:rsidP="00050ED7">
      <w:pPr>
        <w:pStyle w:val="ListParagraph"/>
        <w:ind w:left="0"/>
      </w:pPr>
    </w:p>
    <w:p w14:paraId="610E5CEC" w14:textId="16A33F39" w:rsidR="00050ED7" w:rsidRDefault="00050ED7" w:rsidP="00050ED7">
      <w:pPr>
        <w:pStyle w:val="ListParagraph"/>
        <w:ind w:left="0"/>
      </w:pPr>
      <w:r>
        <w:t xml:space="preserve">The last part of the analysis investigated whether </w:t>
      </w:r>
      <w:r w:rsidR="00E866A4">
        <w:t>dietary</w:t>
      </w:r>
      <w:r>
        <w:t xml:space="preserve"> K and CKD are associated with each other after adjusting for age. There were 109 participants aged 60 and over and 191 participants age under 60.</w:t>
      </w:r>
    </w:p>
    <w:p w14:paraId="7F0FC1B2" w14:textId="77777777" w:rsidR="00050ED7" w:rsidRDefault="00050ED7" w:rsidP="00050ED7">
      <w:pPr>
        <w:pStyle w:val="ListParagraph"/>
        <w:ind w:left="0"/>
      </w:pPr>
    </w:p>
    <w:p w14:paraId="1A86B317" w14:textId="257ED178" w:rsidR="00050ED7" w:rsidRDefault="00050ED7" w:rsidP="00050ED7">
      <w:pPr>
        <w:pStyle w:val="ListParagraph"/>
        <w:ind w:left="0"/>
      </w:pPr>
      <w:r>
        <w:t>For the participants aged 60 and over, the odds ratio was 1.1</w:t>
      </w:r>
      <w:r w:rsidR="00843743">
        <w:t>46</w:t>
      </w:r>
      <w:r>
        <w:t xml:space="preserve"> with a 95% CI of (0.</w:t>
      </w:r>
      <w:r w:rsidR="00E17C5F">
        <w:t>464</w:t>
      </w:r>
      <w:r>
        <w:t>, 2.</w:t>
      </w:r>
      <w:r w:rsidR="00E17C5F">
        <w:t>829</w:t>
      </w:r>
      <w:r>
        <w:t xml:space="preserve">). This means that individuals aged 60 and over with </w:t>
      </w:r>
      <w:r w:rsidR="0094344C">
        <w:t>borderline adequate or adequate</w:t>
      </w:r>
      <w:r>
        <w:t xml:space="preserve"> </w:t>
      </w:r>
      <w:r w:rsidR="0094344C">
        <w:t>dietary</w:t>
      </w:r>
      <w:r>
        <w:t xml:space="preserve"> K have 1</w:t>
      </w:r>
      <w:r w:rsidR="0094344C">
        <w:t>4</w:t>
      </w:r>
      <w:r>
        <w:t>.</w:t>
      </w:r>
      <w:r w:rsidR="0094344C">
        <w:t>6</w:t>
      </w:r>
      <w:r>
        <w:t xml:space="preserve">% higher odds of having CKD compared to individuals aged 60 and over with </w:t>
      </w:r>
      <w:r w:rsidR="0094344C">
        <w:t>inadequate</w:t>
      </w:r>
      <w:r>
        <w:t xml:space="preserve"> </w:t>
      </w:r>
      <w:r w:rsidR="0094344C">
        <w:t>dietary</w:t>
      </w:r>
      <w:r>
        <w:t xml:space="preserve"> K, though this increase was not statistically significant. We are 95% confident that the true odds ratio is between 0.</w:t>
      </w:r>
      <w:r w:rsidR="0094344C">
        <w:t>464</w:t>
      </w:r>
      <w:r>
        <w:t xml:space="preserve"> and 2.</w:t>
      </w:r>
      <w:r w:rsidR="0094344C">
        <w:t>829</w:t>
      </w:r>
      <w:r>
        <w:t xml:space="preserve">. This means that we are 95% confident that the odds of having CKD are somewhere between </w:t>
      </w:r>
      <w:r w:rsidR="00C10168">
        <w:t>53.6</w:t>
      </w:r>
      <w:r>
        <w:t xml:space="preserve">% lower and </w:t>
      </w:r>
      <w:r w:rsidR="00C10168">
        <w:t>182</w:t>
      </w:r>
      <w:r>
        <w:t>.</w:t>
      </w:r>
      <w:r w:rsidR="00C10168">
        <w:t>9</w:t>
      </w:r>
      <w:r>
        <w:t xml:space="preserve">% higher for individuals aged 60 and over with </w:t>
      </w:r>
      <w:r w:rsidR="00C10168">
        <w:t>borderline adequate or adequate</w:t>
      </w:r>
      <w:r>
        <w:t xml:space="preserve"> </w:t>
      </w:r>
      <w:r w:rsidR="00C10168">
        <w:t>dietary</w:t>
      </w:r>
      <w:r>
        <w:t xml:space="preserve"> K compared to individuals aged 60 and over with </w:t>
      </w:r>
      <w:r w:rsidR="00C10168">
        <w:t>inadequate</w:t>
      </w:r>
      <w:r>
        <w:t xml:space="preserve"> </w:t>
      </w:r>
      <w:r w:rsidR="00C10168">
        <w:t>dietary</w:t>
      </w:r>
      <w:r>
        <w:t xml:space="preserve"> K.</w:t>
      </w:r>
    </w:p>
    <w:p w14:paraId="3C9142B6" w14:textId="77777777" w:rsidR="00050ED7" w:rsidRDefault="00050ED7" w:rsidP="00050ED7">
      <w:pPr>
        <w:pStyle w:val="ListParagraph"/>
        <w:ind w:left="0"/>
      </w:pPr>
    </w:p>
    <w:p w14:paraId="2BB9134A" w14:textId="52061616" w:rsidR="00050ED7" w:rsidRDefault="00050ED7" w:rsidP="00050ED7">
      <w:pPr>
        <w:pStyle w:val="ListParagraph"/>
        <w:ind w:left="0"/>
      </w:pPr>
      <w:r>
        <w:t>For the participants aged under 60, the odds ratio was 0.</w:t>
      </w:r>
      <w:r w:rsidR="00555920">
        <w:t>46</w:t>
      </w:r>
      <w:r>
        <w:t>5 with a 95% CI of (0.</w:t>
      </w:r>
      <w:r w:rsidR="009A6BD4">
        <w:t>102</w:t>
      </w:r>
      <w:r>
        <w:t xml:space="preserve">, </w:t>
      </w:r>
      <w:r w:rsidR="009A6BD4">
        <w:t>2.127</w:t>
      </w:r>
      <w:r>
        <w:t xml:space="preserve">). This means that individuals aged under 60 with </w:t>
      </w:r>
      <w:r w:rsidR="009A6BD4">
        <w:t>borderline adequate or adequate</w:t>
      </w:r>
      <w:r>
        <w:t xml:space="preserve"> </w:t>
      </w:r>
      <w:r w:rsidR="009A6BD4">
        <w:t>dietary</w:t>
      </w:r>
      <w:r>
        <w:t xml:space="preserve"> K have </w:t>
      </w:r>
      <w:r w:rsidR="009A6BD4">
        <w:t>53.5</w:t>
      </w:r>
      <w:r>
        <w:t xml:space="preserve">% lower odds of having CKD compared to individuals aged under 60 with </w:t>
      </w:r>
      <w:r w:rsidR="00665AAB">
        <w:t>inadequate</w:t>
      </w:r>
      <w:r>
        <w:t xml:space="preserve"> </w:t>
      </w:r>
      <w:r w:rsidR="00665AAB">
        <w:t>dietary</w:t>
      </w:r>
      <w:r>
        <w:t xml:space="preserve"> K, though this increase was not statistically significant. We are 95% confident that the true odds ratio is between 0.</w:t>
      </w:r>
      <w:r w:rsidR="00665AAB">
        <w:t>102</w:t>
      </w:r>
      <w:r>
        <w:t xml:space="preserve"> and </w:t>
      </w:r>
      <w:r w:rsidR="00665AAB">
        <w:t>2.127</w:t>
      </w:r>
      <w:r>
        <w:t xml:space="preserve">. This means that we are 95% confident that the odds of having CKD are somewhere between </w:t>
      </w:r>
      <w:r w:rsidR="00665AAB">
        <w:t>89.8</w:t>
      </w:r>
      <w:r>
        <w:t xml:space="preserve">% lower and </w:t>
      </w:r>
      <w:r w:rsidR="00665AAB">
        <w:t>112.7</w:t>
      </w:r>
      <w:r>
        <w:t xml:space="preserve">% higher for individuals aged under 60 with </w:t>
      </w:r>
      <w:r w:rsidR="00665AAB">
        <w:t>borderline adequate or adequate</w:t>
      </w:r>
      <w:r>
        <w:t xml:space="preserve"> </w:t>
      </w:r>
      <w:r w:rsidR="00665AAB">
        <w:t>dietary</w:t>
      </w:r>
      <w:r>
        <w:t xml:space="preserve"> K compared to individuals aged under 60 with </w:t>
      </w:r>
      <w:r w:rsidR="00665AAB">
        <w:t>inadequate</w:t>
      </w:r>
      <w:r>
        <w:t xml:space="preserve"> </w:t>
      </w:r>
      <w:r w:rsidR="00665AAB">
        <w:t>dietary</w:t>
      </w:r>
      <w:r>
        <w:t xml:space="preserve"> K.</w:t>
      </w:r>
    </w:p>
    <w:p w14:paraId="7625C92F" w14:textId="77777777" w:rsidR="00050ED7" w:rsidRDefault="00050ED7" w:rsidP="00050ED7">
      <w:pPr>
        <w:pStyle w:val="ListParagraph"/>
        <w:ind w:left="0"/>
      </w:pPr>
    </w:p>
    <w:p w14:paraId="22A3FEF8" w14:textId="28D4C675" w:rsidR="00050ED7" w:rsidRDefault="00050ED7" w:rsidP="00050ED7">
      <w:pPr>
        <w:pStyle w:val="ListParagraph"/>
        <w:ind w:left="0"/>
      </w:pPr>
      <w:r>
        <w:t xml:space="preserve">These odds ratios are intriguing because there is a difference in the ratio after adjusting for age. The odds ratio for participants aged 60 and over is </w:t>
      </w:r>
      <w:r w:rsidR="00E7212A">
        <w:t>closer</w:t>
      </w:r>
      <w:r>
        <w:t xml:space="preserve"> to the odds ratio where we don’t account for age. This odds ratio does not go in the expected direction as we hypothesized in the beginning. However, the odds ratio for participants aged under 60 does agree with our hypothesis.</w:t>
      </w:r>
    </w:p>
    <w:p w14:paraId="08794358" w14:textId="77777777" w:rsidR="00050ED7" w:rsidRDefault="00050ED7" w:rsidP="00050ED7">
      <w:pPr>
        <w:pStyle w:val="ListParagraph"/>
        <w:ind w:left="0"/>
      </w:pPr>
    </w:p>
    <w:p w14:paraId="49DB86D8" w14:textId="5BF6D26B" w:rsidR="00050ED7" w:rsidRDefault="00050ED7" w:rsidP="00B419D0">
      <w:pPr>
        <w:pStyle w:val="ListParagraph"/>
        <w:ind w:left="0"/>
      </w:pPr>
      <w:r>
        <w:t xml:space="preserve">From the Mantel-Haenszel test, we found the MH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w:rPr>
            <w:rFonts w:ascii="Cambria Math" w:hAnsi="Cambria Math"/>
          </w:rPr>
          <m:t>=0.</m:t>
        </m:r>
        <m:r>
          <w:rPr>
            <w:rFonts w:ascii="Cambria Math" w:hAnsi="Cambria Math"/>
          </w:rPr>
          <m:t>133</m:t>
        </m:r>
      </m:oMath>
      <w:r>
        <w:rPr>
          <w:rFonts w:eastAsiaTheme="minorEastAsia"/>
        </w:rPr>
        <w:t xml:space="preserve"> and the p-value = 0.</w:t>
      </w:r>
      <w:r w:rsidR="00EB27C1">
        <w:rPr>
          <w:rFonts w:eastAsiaTheme="minorEastAsia"/>
        </w:rPr>
        <w:t>715</w:t>
      </w:r>
      <w:r>
        <w:rPr>
          <w:rFonts w:eastAsiaTheme="minorEastAsia"/>
        </w:rPr>
        <w:t xml:space="preserve"> after taking out the continuity correction. Thus, we failed to reject the null hypothesis and concluded that there is no evidence against </w:t>
      </w:r>
      <w:r w:rsidR="00EB27C1">
        <w:rPr>
          <w:rFonts w:eastAsiaTheme="minorEastAsia"/>
        </w:rPr>
        <w:t>dietary</w:t>
      </w:r>
      <w:r>
        <w:rPr>
          <w:rFonts w:eastAsiaTheme="minorEastAsia"/>
        </w:rPr>
        <w:t xml:space="preserve"> K and CKD being independent of each other after controlling for age. This is the same conclusion as we had with the unadjusted results from the chi-squared test, but it seems even more clear now that </w:t>
      </w:r>
      <w:r w:rsidR="00EB27C1">
        <w:rPr>
          <w:rFonts w:eastAsiaTheme="minorEastAsia"/>
        </w:rPr>
        <w:t>dietary</w:t>
      </w:r>
      <w:r>
        <w:rPr>
          <w:rFonts w:eastAsiaTheme="minorEastAsia"/>
        </w:rPr>
        <w:t xml:space="preserve"> K and CKD status are not associated.</w:t>
      </w:r>
    </w:p>
    <w:p w14:paraId="0245CF20" w14:textId="0D0223B9" w:rsidR="008A5413" w:rsidRDefault="008A5413" w:rsidP="008A5413">
      <w:pPr>
        <w:pStyle w:val="Heading2"/>
      </w:pPr>
      <w:r>
        <w:t>Analysis Results for Aim 3</w:t>
      </w:r>
    </w:p>
    <w:p w14:paraId="2ACCEA97" w14:textId="0EB14337" w:rsidR="009A6C4E" w:rsidRPr="00E97D2F" w:rsidRDefault="009A6C4E" w:rsidP="009A6C4E">
      <w:pPr>
        <w:pStyle w:val="ListParagraph"/>
        <w:ind w:left="0"/>
      </w:pPr>
      <w:r w:rsidRPr="00E97D2F">
        <w:t xml:space="preserve">In our sample, we had </w:t>
      </w:r>
      <w:r w:rsidR="002A0EA8">
        <w:t>137</w:t>
      </w:r>
      <w:r w:rsidRPr="00E97D2F">
        <w:t xml:space="preserve"> individuals </w:t>
      </w:r>
      <w:r w:rsidR="002A0EA8">
        <w:t xml:space="preserve">with low-normal serum K </w:t>
      </w:r>
      <w:r w:rsidRPr="00E97D2F">
        <w:t xml:space="preserve">and </w:t>
      </w:r>
      <w:r w:rsidR="002A0EA8">
        <w:t xml:space="preserve">163 </w:t>
      </w:r>
      <w:r w:rsidRPr="00E97D2F">
        <w:t>individual</w:t>
      </w:r>
      <w:r w:rsidR="002A0EA8">
        <w:t>s with normal serum K</w:t>
      </w:r>
      <w:r w:rsidRPr="00E97D2F">
        <w:t>. We compared the variances using both the rule of thumb and the variance ratio test.</w:t>
      </w:r>
    </w:p>
    <w:p w14:paraId="12507C19" w14:textId="77777777" w:rsidR="009A6C4E" w:rsidRPr="00E97D2F" w:rsidRDefault="009A6C4E" w:rsidP="009A6C4E">
      <w:pPr>
        <w:pStyle w:val="ListParagraph"/>
        <w:ind w:left="0"/>
      </w:pPr>
    </w:p>
    <w:p w14:paraId="34B58B5F" w14:textId="219FF03D" w:rsidR="009A6C4E" w:rsidRPr="00E97D2F" w:rsidRDefault="009A6C4E" w:rsidP="009A6C4E">
      <w:pPr>
        <w:pStyle w:val="ListParagraph"/>
        <w:ind w:left="0"/>
      </w:pPr>
      <w:r w:rsidRPr="00E97D2F">
        <w:t xml:space="preserve">For the rule of thumb, </w:t>
      </w:r>
      <w:r>
        <w:t>we</w:t>
      </w:r>
      <w:r w:rsidRPr="00E97D2F">
        <w:t xml:space="preserve"> found that the ratio of the variances is 1.</w:t>
      </w:r>
      <w:r w:rsidR="00B403B6">
        <w:t>242</w:t>
      </w:r>
      <w:r w:rsidRPr="00E97D2F">
        <w:t xml:space="preserve"> which is not greater than 3. </w:t>
      </w:r>
    </w:p>
    <w:p w14:paraId="33B08F82" w14:textId="77777777" w:rsidR="009A6C4E" w:rsidRDefault="009A6C4E" w:rsidP="009A6C4E">
      <w:pPr>
        <w:pStyle w:val="ListParagraph"/>
        <w:ind w:left="0"/>
      </w:pPr>
      <w:r w:rsidRPr="00E97D2F">
        <w:t xml:space="preserve">For the variance ratio test, </w:t>
      </w:r>
      <w:r>
        <w:t>we</w:t>
      </w:r>
      <w:r w:rsidRPr="00E97D2F">
        <w:t xml:space="preserve"> did a hypothesis test with the following steps:</w:t>
      </w:r>
    </w:p>
    <w:p w14:paraId="177E3975" w14:textId="77777777" w:rsidR="009A6C4E" w:rsidRPr="00E97D2F" w:rsidRDefault="009A6C4E" w:rsidP="009A6C4E">
      <w:pPr>
        <w:pStyle w:val="ListParagraph"/>
        <w:ind w:left="0"/>
      </w:pPr>
    </w:p>
    <w:p w14:paraId="606EFF11" w14:textId="3880143F" w:rsidR="009A6C4E" w:rsidRPr="00E97D2F" w:rsidRDefault="009A6C4E" w:rsidP="009A6C4E">
      <w:pPr>
        <w:pStyle w:val="ListParagraph"/>
        <w:ind w:left="0"/>
      </w:pPr>
      <w:r w:rsidRPr="00E97D2F">
        <w:t xml:space="preserve">Step 1: </w:t>
      </w:r>
      <w:r>
        <w:t>We</w:t>
      </w:r>
      <w:r w:rsidRPr="00E97D2F">
        <w:t xml:space="preserve"> assumed that eGFR among individuals with </w:t>
      </w:r>
      <w:r w:rsidR="002D6CC3">
        <w:t>low-normal serum</w:t>
      </w:r>
      <w:r w:rsidRPr="00E97D2F">
        <w:t xml:space="preserve"> K and individuals with </w:t>
      </w:r>
      <w:r w:rsidR="002D6CC3">
        <w:t xml:space="preserve">normal serum K </w:t>
      </w:r>
      <w:r w:rsidRPr="00E97D2F">
        <w:t xml:space="preserve">are independent and normally distributed. </w:t>
      </w:r>
    </w:p>
    <w:p w14:paraId="1D3C068B" w14:textId="22883A3E" w:rsidR="009A6C4E" w:rsidRPr="00E97D2F" w:rsidRDefault="009A6C4E" w:rsidP="009A6C4E">
      <w:pPr>
        <w:pStyle w:val="ListParagraph"/>
        <w:ind w:left="0"/>
        <w:rPr>
          <w:rFonts w:eastAsiaTheme="minorEastAsia"/>
        </w:rPr>
      </w:pPr>
      <w:r w:rsidRPr="00E97D2F">
        <w:t xml:space="preserve">Step 2: </w:t>
      </w:r>
      <w:r>
        <w:t>We</w:t>
      </w:r>
      <w:r w:rsidRPr="00E97D2F">
        <w:t xml:space="preserve"> set up </w:t>
      </w:r>
      <w:r>
        <w:t>our</w:t>
      </w:r>
      <w:r w:rsidRPr="00E97D2F">
        <w:t xml:space="preserv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oMath>
      <w:r w:rsidRPr="00E97D2F">
        <w:rPr>
          <w:rFonts w:eastAsiaTheme="minorEastAsia"/>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Pr="00E97D2F">
        <w:rPr>
          <w:rFonts w:eastAsiaTheme="minorEastAsia"/>
        </w:rPr>
        <w:t xml:space="preserve"> is the population variance of eGFR among </w:t>
      </w:r>
      <w:r w:rsidRPr="00E97D2F">
        <w:t xml:space="preserve">individuals with </w:t>
      </w:r>
      <w:r w:rsidR="00D8762B">
        <w:t>low-normal serum K</w:t>
      </w:r>
      <w:r w:rsidRPr="00E97D2F">
        <w:t xml:space="preserve"> </w:t>
      </w:r>
      <w:r w:rsidRPr="00E97D2F">
        <w:rPr>
          <w:rFonts w:eastAsiaTheme="minorEastAsia"/>
        </w:rPr>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E97D2F">
        <w:rPr>
          <w:rFonts w:eastAsiaTheme="minorEastAsia"/>
        </w:rPr>
        <w:t xml:space="preserve"> is the population variance of eGFR among </w:t>
      </w:r>
      <w:r w:rsidRPr="00E97D2F">
        <w:t xml:space="preserve">individuals with </w:t>
      </w:r>
      <w:r w:rsidR="00D8762B">
        <w:t>normal serum K</w:t>
      </w:r>
      <w:r w:rsidRPr="00E97D2F">
        <w:rPr>
          <w:rFonts w:eastAsiaTheme="minorEastAsia"/>
        </w:rPr>
        <w:t>.</w:t>
      </w:r>
    </w:p>
    <w:p w14:paraId="22D3D465" w14:textId="77777777" w:rsidR="009A6C4E" w:rsidRPr="00E97D2F" w:rsidRDefault="009A6C4E" w:rsidP="009A6C4E">
      <w:pPr>
        <w:pStyle w:val="ListParagraph"/>
        <w:ind w:left="0"/>
        <w:rPr>
          <w:rFonts w:eastAsiaTheme="minorEastAsia"/>
        </w:rPr>
      </w:pPr>
      <w:r w:rsidRPr="00E97D2F">
        <w:rPr>
          <w:rFonts w:eastAsiaTheme="minorEastAsia"/>
        </w:rPr>
        <w:t xml:space="preserve">Step 3: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E97D2F">
        <w:rPr>
          <w:rFonts w:eastAsiaTheme="minorEastAsia"/>
        </w:rPr>
        <w:t xml:space="preserve">, </w:t>
      </w:r>
      <m:oMath>
        <m:r>
          <w:rPr>
            <w:rFonts w:ascii="Cambria Math" w:eastAsiaTheme="minorEastAsia" w:hAnsi="Cambria Math"/>
          </w:rPr>
          <m:t xml:space="preserve">F=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ub>
        </m:sSub>
      </m:oMath>
    </w:p>
    <w:p w14:paraId="3387EEA0" w14:textId="139B4C27" w:rsidR="009A6C4E" w:rsidRPr="00E97D2F" w:rsidRDefault="009A6C4E" w:rsidP="009A6C4E">
      <w:pPr>
        <w:pStyle w:val="ListParagraph"/>
        <w:ind w:left="0"/>
        <w:rPr>
          <w:rFonts w:eastAsiaTheme="minorEastAsia"/>
        </w:rPr>
      </w:pPr>
      <w:r w:rsidRPr="00E97D2F">
        <w:rPr>
          <w:rFonts w:eastAsiaTheme="minorEastAsia"/>
        </w:rPr>
        <w:t xml:space="preserve">Step 4: F = </w:t>
      </w:r>
      <m:oMath>
        <m:f>
          <m:fPr>
            <m:ctrlPr>
              <w:rPr>
                <w:rFonts w:ascii="Cambria Math" w:eastAsiaTheme="minorEastAsia" w:hAnsi="Cambria Math"/>
                <w:i/>
              </w:rPr>
            </m:ctrlPr>
          </m:fPr>
          <m:num>
            <m:r>
              <w:rPr>
                <w:rFonts w:ascii="Cambria Math" w:eastAsiaTheme="minorEastAsia" w:hAnsi="Cambria Math"/>
              </w:rPr>
              <m:t>615.39</m:t>
            </m:r>
          </m:num>
          <m:den>
            <m:r>
              <w:rPr>
                <w:rFonts w:ascii="Cambria Math" w:eastAsiaTheme="minorEastAsia" w:hAnsi="Cambria Math"/>
              </w:rPr>
              <m:t>495.68</m:t>
            </m:r>
          </m:den>
        </m:f>
        <m:r>
          <w:rPr>
            <w:rFonts w:ascii="Cambria Math" w:eastAsiaTheme="minorEastAsia" w:hAnsi="Cambria Math"/>
          </w:rPr>
          <m:t xml:space="preserve">=1.242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162, 136</m:t>
            </m:r>
          </m:sub>
        </m:sSub>
      </m:oMath>
      <w:r w:rsidRPr="00E97D2F">
        <w:rPr>
          <w:rFonts w:eastAsiaTheme="minorEastAsia"/>
        </w:rPr>
        <w:t xml:space="preserve"> The p-value is 2 x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F&gt;1.242</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r>
          <w:rPr>
            <w:rFonts w:ascii="Cambria Math" w:eastAsiaTheme="minorEastAsia" w:hAnsi="Cambria Math"/>
          </w:rPr>
          <m:t>=0.193</m:t>
        </m:r>
      </m:oMath>
    </w:p>
    <w:p w14:paraId="00DA31FE" w14:textId="62A40D51" w:rsidR="009A6C4E" w:rsidRPr="00E97D2F" w:rsidRDefault="009A6C4E" w:rsidP="009A6C4E">
      <w:pPr>
        <w:pStyle w:val="ListParagraph"/>
        <w:ind w:left="0"/>
        <w:rPr>
          <w:rFonts w:eastAsiaTheme="minorEastAsia"/>
        </w:rPr>
      </w:pPr>
      <w:r w:rsidRPr="00E97D2F">
        <w:rPr>
          <w:rFonts w:eastAsiaTheme="minorEastAsia"/>
        </w:rPr>
        <w:t xml:space="preserve">Step 5: Using an alpha level of 0.05, </w:t>
      </w:r>
      <w:r>
        <w:rPr>
          <w:rFonts w:eastAsiaTheme="minorEastAsia"/>
        </w:rPr>
        <w:t>we</w:t>
      </w:r>
      <w:r w:rsidRPr="00E97D2F">
        <w:rPr>
          <w:rFonts w:eastAsiaTheme="minorEastAsia"/>
        </w:rPr>
        <w:t xml:space="preserve"> concluded that there is </w:t>
      </w:r>
      <w:r w:rsidR="003743DB">
        <w:rPr>
          <w:rFonts w:eastAsiaTheme="minorEastAsia"/>
        </w:rPr>
        <w:t xml:space="preserve">not </w:t>
      </w:r>
      <w:r w:rsidRPr="00E97D2F">
        <w:rPr>
          <w:rFonts w:eastAsiaTheme="minorEastAsia"/>
        </w:rPr>
        <w:t>enough evidence to say that the variances are different from each other.</w:t>
      </w:r>
    </w:p>
    <w:p w14:paraId="4DBC83C9" w14:textId="77777777" w:rsidR="009A6C4E" w:rsidRPr="00E97D2F" w:rsidRDefault="009A6C4E" w:rsidP="009A6C4E">
      <w:pPr>
        <w:pStyle w:val="ListParagraph"/>
        <w:ind w:left="0"/>
        <w:rPr>
          <w:rFonts w:eastAsiaTheme="minorEastAsia"/>
        </w:rPr>
      </w:pPr>
    </w:p>
    <w:p w14:paraId="4A7D47D7" w14:textId="5AAE847E" w:rsidR="003743DB" w:rsidRDefault="003743DB" w:rsidP="003743DB">
      <w:pPr>
        <w:pStyle w:val="ListParagraph"/>
        <w:ind w:left="0"/>
        <w:rPr>
          <w:rFonts w:eastAsiaTheme="minorEastAsia"/>
        </w:rPr>
      </w:pPr>
      <w:r w:rsidRPr="00573545">
        <w:rPr>
          <w:rFonts w:eastAsiaTheme="minorEastAsia"/>
        </w:rPr>
        <w:t xml:space="preserve">Thus, </w:t>
      </w:r>
      <w:r>
        <w:rPr>
          <w:rFonts w:eastAsiaTheme="minorEastAsia"/>
        </w:rPr>
        <w:t>we</w:t>
      </w:r>
      <w:r w:rsidRPr="00573545">
        <w:rPr>
          <w:rFonts w:eastAsiaTheme="minorEastAsia"/>
        </w:rPr>
        <w:t xml:space="preserve"> chose to assume equal variances for the two-sample t-test. Since </w:t>
      </w:r>
      <w:r>
        <w:rPr>
          <w:rFonts w:eastAsiaTheme="minorEastAsia"/>
        </w:rPr>
        <w:t>we</w:t>
      </w:r>
      <w:r w:rsidRPr="00573545">
        <w:rPr>
          <w:rFonts w:eastAsiaTheme="minorEastAsia"/>
        </w:rPr>
        <w:t xml:space="preserve"> assume equal variances for the two-sample t-test, </w:t>
      </w:r>
      <w:r>
        <w:rPr>
          <w:rFonts w:eastAsiaTheme="minorEastAsia"/>
        </w:rPr>
        <w:t>we</w:t>
      </w:r>
      <w:r w:rsidRPr="00573545">
        <w:rPr>
          <w:rFonts w:eastAsiaTheme="minorEastAsia"/>
        </w:rPr>
        <w:t xml:space="preserve"> pooled the variances for the t-test using the following formula: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e>
            </m:d>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163-1</m:t>
                </m:r>
              </m:e>
            </m:d>
            <m:r>
              <w:rPr>
                <w:rFonts w:ascii="Cambria Math" w:eastAsiaTheme="minorEastAsia" w:hAnsi="Cambria Math"/>
              </w:rPr>
              <m:t>615.39+</m:t>
            </m:r>
            <m:d>
              <m:dPr>
                <m:ctrlPr>
                  <w:rPr>
                    <w:rFonts w:ascii="Cambria Math" w:eastAsiaTheme="minorEastAsia" w:hAnsi="Cambria Math"/>
                    <w:i/>
                  </w:rPr>
                </m:ctrlPr>
              </m:dPr>
              <m:e>
                <m:r>
                  <w:rPr>
                    <w:rFonts w:ascii="Cambria Math" w:eastAsiaTheme="minorEastAsia" w:hAnsi="Cambria Math"/>
                  </w:rPr>
                  <m:t>137-1</m:t>
                </m:r>
              </m:e>
            </m:d>
            <m:r>
              <w:rPr>
                <w:rFonts w:ascii="Cambria Math" w:eastAsiaTheme="minorEastAsia" w:hAnsi="Cambria Math"/>
              </w:rPr>
              <m:t>495.68</m:t>
            </m:r>
          </m:num>
          <m:den>
            <m:d>
              <m:dPr>
                <m:ctrlPr>
                  <w:rPr>
                    <w:rFonts w:ascii="Cambria Math" w:eastAsiaTheme="minorEastAsia" w:hAnsi="Cambria Math"/>
                    <w:i/>
                  </w:rPr>
                </m:ctrlPr>
              </m:dPr>
              <m:e>
                <m:r>
                  <w:rPr>
                    <w:rFonts w:ascii="Cambria Math" w:eastAsiaTheme="minorEastAsia" w:hAnsi="Cambria Math"/>
                  </w:rPr>
                  <m:t>163-1</m:t>
                </m:r>
              </m:e>
            </m:d>
            <m:r>
              <w:rPr>
                <w:rFonts w:ascii="Cambria Math" w:eastAsiaTheme="minorEastAsia" w:hAnsi="Cambria Math"/>
              </w:rPr>
              <m:t>+(137-1)</m:t>
            </m:r>
          </m:den>
        </m:f>
        <m:r>
          <w:rPr>
            <w:rFonts w:ascii="Cambria Math" w:eastAsiaTheme="minorEastAsia" w:hAnsi="Cambria Math"/>
          </w:rPr>
          <m:t>= 560.76</m:t>
        </m:r>
      </m:oMath>
    </w:p>
    <w:p w14:paraId="4157A87C" w14:textId="77777777" w:rsidR="009A6C4E" w:rsidRPr="00E97D2F" w:rsidRDefault="009A6C4E" w:rsidP="009A6C4E">
      <w:pPr>
        <w:pStyle w:val="ListParagraph"/>
        <w:ind w:left="0"/>
      </w:pPr>
    </w:p>
    <w:p w14:paraId="7B4AB791" w14:textId="6377B60A" w:rsidR="00EB7A8D" w:rsidRDefault="00EB7A8D" w:rsidP="00EB7A8D">
      <w:pPr>
        <w:pStyle w:val="ListParagraph"/>
        <w:ind w:left="0"/>
        <w:rPr>
          <w:rFonts w:eastAsiaTheme="minorEastAsia"/>
        </w:rPr>
      </w:pPr>
      <w:r>
        <w:rPr>
          <w:rFonts w:eastAsiaTheme="minorEastAsia"/>
        </w:rPr>
        <w:t>Now that we had the pooled variance and knew the correct two-sample t-test formula to use, we ran our hypothesis test to compare mean eGFR between individuals with low-normal serum K and individuals with normal serum K using the following steps:</w:t>
      </w:r>
    </w:p>
    <w:p w14:paraId="7D3BAEF6" w14:textId="77777777" w:rsidR="009A6C4E" w:rsidRPr="00003292" w:rsidRDefault="009A6C4E" w:rsidP="009A6C4E">
      <w:pPr>
        <w:pStyle w:val="ListParagraph"/>
        <w:ind w:left="0"/>
        <w:rPr>
          <w:rFonts w:eastAsiaTheme="minorEastAsia"/>
        </w:rPr>
      </w:pPr>
    </w:p>
    <w:p w14:paraId="361BAFBF" w14:textId="61424F04" w:rsidR="001616F1" w:rsidRPr="00C7705E" w:rsidRDefault="001616F1" w:rsidP="001616F1">
      <w:pPr>
        <w:pStyle w:val="ListParagraph"/>
        <w:ind w:left="0"/>
        <w:rPr>
          <w:rFonts w:eastAsiaTheme="minorEastAsia"/>
        </w:rPr>
      </w:pPr>
      <w:r w:rsidRPr="00C7705E">
        <w:t xml:space="preserve">Step 1: </w:t>
      </w:r>
      <w:r>
        <w:t>We</w:t>
      </w:r>
      <w:r w:rsidRPr="00C7705E">
        <w:t xml:space="preserve"> assumed that the two populations are independent, that </w:t>
      </w:r>
      <w:r w:rsidR="008C6850">
        <w:t>eGFR</w:t>
      </w:r>
      <w:r w:rsidRPr="00C7705E">
        <w:t xml:space="preserve"> among </w:t>
      </w:r>
      <w:r w:rsidR="008C6850">
        <w:t xml:space="preserve">individuals with normal serum K </w:t>
      </w:r>
      <w:r w:rsidRPr="00C7705E">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r>
          <w:rPr>
            <w:rFonts w:ascii="Cambria Math" w:hAnsi="Cambria Math"/>
          </w:rPr>
          <m:t>)</m:t>
        </m:r>
      </m:oMath>
      <w:r w:rsidRPr="00C7705E">
        <w:rPr>
          <w:rFonts w:eastAsiaTheme="minorEastAsia"/>
        </w:rPr>
        <w:t xml:space="preserve"> and that </w:t>
      </w:r>
      <w:r w:rsidR="008C6850">
        <w:rPr>
          <w:rFonts w:eastAsiaTheme="minorEastAsia"/>
        </w:rPr>
        <w:t>eGFR</w:t>
      </w:r>
      <w:r w:rsidRPr="00C7705E">
        <w:rPr>
          <w:rFonts w:eastAsiaTheme="minorEastAsia"/>
        </w:rPr>
        <w:t xml:space="preserve"> among individuals</w:t>
      </w:r>
      <w:r w:rsidR="008C6850">
        <w:rPr>
          <w:rFonts w:eastAsiaTheme="minorEastAsia"/>
        </w:rPr>
        <w:t xml:space="preserve"> with low-normal serum K</w:t>
      </w:r>
      <w:r w:rsidRPr="00C7705E">
        <w:rPr>
          <w:rFonts w:eastAsiaTheme="minorEastAsia"/>
        </w:rPr>
        <w:t xml:space="preserve"> </w:t>
      </w:r>
      <w:r w:rsidRPr="00C7705E">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4</m:t>
            </m:r>
          </m:sub>
          <m:sup>
            <m:r>
              <w:rPr>
                <w:rFonts w:ascii="Cambria Math" w:hAnsi="Cambria Math"/>
              </w:rPr>
              <m:t>2</m:t>
            </m:r>
          </m:sup>
        </m:sSubSup>
        <m:r>
          <w:rPr>
            <w:rFonts w:ascii="Cambria Math" w:hAnsi="Cambria Math"/>
          </w:rPr>
          <m:t>)</m:t>
        </m:r>
      </m:oMath>
      <w:r w:rsidRPr="00C7705E">
        <w:rPr>
          <w:rFonts w:eastAsiaTheme="minorEastAsia"/>
        </w:rPr>
        <w:t>.</w:t>
      </w:r>
    </w:p>
    <w:p w14:paraId="5F320D20" w14:textId="6776A802" w:rsidR="001616F1" w:rsidRPr="00C7705E" w:rsidRDefault="001616F1" w:rsidP="001616F1">
      <w:pPr>
        <w:pStyle w:val="ListParagraph"/>
        <w:ind w:left="0"/>
        <w:rPr>
          <w:rFonts w:eastAsiaTheme="minorEastAsia"/>
        </w:rPr>
      </w:pPr>
      <w:r w:rsidRPr="00C7705E">
        <w:t xml:space="preserve">Step 2: </w:t>
      </w:r>
      <w:r>
        <w:t>We</w:t>
      </w:r>
      <w:r w:rsidRPr="00C7705E">
        <w:t xml:space="preserve"> set up </w:t>
      </w:r>
      <w:r>
        <w:t>our</w:t>
      </w:r>
      <w:r w:rsidRPr="00C7705E">
        <w:t xml:space="preserv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δ=0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δ≠0</m:t>
        </m:r>
      </m:oMath>
      <w:r w:rsidRPr="00C7705E">
        <w:rPr>
          <w:rFonts w:eastAsiaTheme="minorEastAsia"/>
        </w:rPr>
        <w:t xml:space="preserve"> where </w:t>
      </w:r>
      <m:oMath>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oMath>
      <w:r w:rsidRPr="00C7705E">
        <w:rPr>
          <w:rFonts w:eastAsiaTheme="minorEastAsia"/>
        </w:rPr>
        <w:t xml:space="preserve"> is the unknown difference in mean </w:t>
      </w:r>
      <w:r w:rsidR="00FF50D9">
        <w:rPr>
          <w:rFonts w:eastAsiaTheme="minorEastAsia"/>
        </w:rPr>
        <w:t>eGFR</w:t>
      </w:r>
      <w:r w:rsidRPr="00C7705E">
        <w:rPr>
          <w:rFonts w:eastAsiaTheme="minorEastAsia"/>
        </w:rPr>
        <w:t xml:space="preserve"> between individuals </w:t>
      </w:r>
      <w:r w:rsidR="00FF50D9">
        <w:rPr>
          <w:rFonts w:eastAsiaTheme="minorEastAsia"/>
        </w:rPr>
        <w:t xml:space="preserve">with normal serum K </w:t>
      </w:r>
      <w:r w:rsidRPr="00C7705E">
        <w:rPr>
          <w:rFonts w:eastAsiaTheme="minorEastAsia"/>
        </w:rPr>
        <w:t>and individuals</w:t>
      </w:r>
      <w:r w:rsidR="00FF50D9">
        <w:rPr>
          <w:rFonts w:eastAsiaTheme="minorEastAsia"/>
        </w:rPr>
        <w:t xml:space="preserve"> with low-normal serum K</w:t>
      </w:r>
      <w:r w:rsidRPr="00C7705E">
        <w:rPr>
          <w:rFonts w:eastAsiaTheme="minorEastAsia"/>
        </w:rPr>
        <w:t>.</w:t>
      </w:r>
    </w:p>
    <w:p w14:paraId="1E2E5D31" w14:textId="77777777" w:rsidR="001616F1" w:rsidRPr="00C7705E" w:rsidRDefault="001616F1" w:rsidP="001616F1">
      <w:pPr>
        <w:pStyle w:val="ListParagraph"/>
        <w:ind w:left="0"/>
        <w:rPr>
          <w:rFonts w:eastAsiaTheme="minorEastAsia"/>
        </w:rPr>
      </w:pPr>
      <w:r w:rsidRPr="00C7705E">
        <w:rPr>
          <w:rFonts w:eastAsiaTheme="minorEastAsia"/>
        </w:rPr>
        <w:t xml:space="preserve">Step 3: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type m:val="skw"/>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type m:val="skw"/>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p</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 xml:space="preserve"> </m:t>
                </m:r>
              </m:e>
            </m:rad>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m:t>
            </m:r>
          </m:sub>
        </m:sSub>
      </m:oMath>
      <w:r w:rsidRPr="00C7705E">
        <w:rPr>
          <w:rFonts w:eastAsiaTheme="minorEastAsia"/>
        </w:rPr>
        <w:t xml:space="preserve"> </w:t>
      </w:r>
    </w:p>
    <w:p w14:paraId="73B9EF19" w14:textId="3B1B26A7" w:rsidR="001616F1" w:rsidRPr="00C7705E" w:rsidRDefault="001616F1" w:rsidP="001616F1">
      <w:pPr>
        <w:pStyle w:val="ListParagraph"/>
        <w:ind w:left="0"/>
        <w:rPr>
          <w:rFonts w:eastAsiaTheme="minorEastAsia"/>
        </w:rPr>
      </w:pPr>
      <w:r w:rsidRPr="00C7705E">
        <w:rPr>
          <w:rFonts w:eastAsiaTheme="minorEastAsia"/>
        </w:rPr>
        <w:t xml:space="preserve">Step 4: T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86.85-92.30</m:t>
                </m:r>
              </m:e>
            </m:d>
            <m:r>
              <w:rPr>
                <w:rFonts w:ascii="Cambria Math" w:eastAsiaTheme="minorEastAsia" w:hAnsi="Cambria Math"/>
              </w:rPr>
              <m:t>-0</m:t>
            </m:r>
          </m:num>
          <m:den>
            <m:rad>
              <m:radPr>
                <m:degHide m:val="1"/>
                <m:ctrlPr>
                  <w:rPr>
                    <w:rFonts w:ascii="Cambria Math" w:eastAsiaTheme="minorEastAsia" w:hAnsi="Cambria Math"/>
                    <w:i/>
                  </w:rPr>
                </m:ctrlPr>
              </m:radPr>
              <m:deg/>
              <m:e>
                <m:f>
                  <m:fPr>
                    <m:type m:val="skw"/>
                    <m:ctrlPr>
                      <w:rPr>
                        <w:rFonts w:ascii="Cambria Math" w:eastAsiaTheme="minorEastAsia" w:hAnsi="Cambria Math"/>
                        <w:i/>
                      </w:rPr>
                    </m:ctrlPr>
                  </m:fPr>
                  <m:num>
                    <m:r>
                      <w:rPr>
                        <w:rFonts w:ascii="Cambria Math" w:eastAsiaTheme="minorEastAsia" w:hAnsi="Cambria Math"/>
                      </w:rPr>
                      <m:t>560.76</m:t>
                    </m:r>
                  </m:num>
                  <m:den>
                    <m:r>
                      <w:rPr>
                        <w:rFonts w:ascii="Cambria Math" w:eastAsiaTheme="minorEastAsia" w:hAnsi="Cambria Math"/>
                      </w:rPr>
                      <m:t>163</m:t>
                    </m:r>
                  </m:den>
                </m:f>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560.76</m:t>
                    </m:r>
                  </m:num>
                  <m:den>
                    <m:r>
                      <w:rPr>
                        <w:rFonts w:ascii="Cambria Math" w:eastAsiaTheme="minorEastAsia" w:hAnsi="Cambria Math"/>
                      </w:rPr>
                      <m:t>137</m:t>
                    </m:r>
                  </m:den>
                </m:f>
              </m:e>
            </m:rad>
          </m:den>
        </m:f>
        <m:r>
          <w:rPr>
            <w:rFonts w:ascii="Cambria Math" w:eastAsiaTheme="minorEastAsia" w:hAnsi="Cambria Math"/>
          </w:rPr>
          <m:t>=-1.984</m:t>
        </m:r>
      </m:oMath>
    </w:p>
    <w:p w14:paraId="3F168B2B" w14:textId="78F3A6E4" w:rsidR="001616F1" w:rsidRPr="00C7705E" w:rsidRDefault="001616F1" w:rsidP="001616F1">
      <w:pPr>
        <w:pStyle w:val="ListParagraph"/>
        <w:ind w:left="0"/>
        <w:rPr>
          <w:rFonts w:eastAsiaTheme="minorEastAsia"/>
        </w:rPr>
      </w:pPr>
      <w:r w:rsidRPr="00C7705E">
        <w:rPr>
          <w:rFonts w:eastAsiaTheme="minorEastAsia"/>
        </w:rPr>
        <w:t xml:space="preserve">The p-value is 2 x P(T </w:t>
      </w:r>
      <w:r>
        <w:rPr>
          <w:rFonts w:eastAsiaTheme="minorEastAsia"/>
        </w:rPr>
        <w:t>&lt;</w:t>
      </w:r>
      <w:r w:rsidRPr="00C7705E">
        <w:rPr>
          <w:rFonts w:eastAsiaTheme="minorEastAsia"/>
        </w:rPr>
        <w:t xml:space="preserve"> </w:t>
      </w:r>
      <w:r>
        <w:rPr>
          <w:rFonts w:eastAsiaTheme="minorEastAsia"/>
        </w:rPr>
        <w:t>-</w:t>
      </w:r>
      <w:r w:rsidR="00211F61">
        <w:rPr>
          <w:rFonts w:eastAsiaTheme="minorEastAsia"/>
        </w:rPr>
        <w:t>1.984</w:t>
      </w:r>
      <w:r w:rsidRPr="00C7705E">
        <w:rPr>
          <w:rFonts w:eastAsiaTheme="minorEastAsia"/>
        </w:rPr>
        <w:t>) = 0.</w:t>
      </w:r>
      <w:r w:rsidR="005E43E5">
        <w:rPr>
          <w:rFonts w:eastAsiaTheme="minorEastAsia"/>
        </w:rPr>
        <w:t>048</w:t>
      </w:r>
    </w:p>
    <w:p w14:paraId="5EE5B87A" w14:textId="1A26A921" w:rsidR="001616F1" w:rsidRDefault="001616F1" w:rsidP="001616F1">
      <w:pPr>
        <w:pStyle w:val="ListParagraph"/>
        <w:ind w:left="0"/>
        <w:rPr>
          <w:rFonts w:eastAsiaTheme="minorEastAsia"/>
        </w:rPr>
      </w:pPr>
      <w:r w:rsidRPr="00C7705E">
        <w:rPr>
          <w:rFonts w:eastAsiaTheme="minorEastAsia"/>
        </w:rPr>
        <w:t xml:space="preserve">Step 5: Using an alpha level of 0.05, </w:t>
      </w:r>
      <w:r>
        <w:rPr>
          <w:rFonts w:eastAsiaTheme="minorEastAsia"/>
        </w:rPr>
        <w:t>we</w:t>
      </w:r>
      <w:r w:rsidRPr="00C7705E">
        <w:rPr>
          <w:rFonts w:eastAsiaTheme="minorEastAsia"/>
        </w:rPr>
        <w:t xml:space="preserve"> concluded that there is sufficient evidence to say that mean </w:t>
      </w:r>
      <w:r w:rsidR="005E43E5">
        <w:rPr>
          <w:rFonts w:eastAsiaTheme="minorEastAsia"/>
        </w:rPr>
        <w:t>eGFR</w:t>
      </w:r>
      <w:r w:rsidRPr="00C7705E">
        <w:rPr>
          <w:rFonts w:eastAsiaTheme="minorEastAsia"/>
        </w:rPr>
        <w:t xml:space="preserve"> is different between individuals</w:t>
      </w:r>
      <w:r w:rsidR="005E43E5">
        <w:rPr>
          <w:rFonts w:eastAsiaTheme="minorEastAsia"/>
        </w:rPr>
        <w:t xml:space="preserve"> with low-normal serum K and individuals with normal serum K</w:t>
      </w:r>
      <w:r w:rsidRPr="00C7705E">
        <w:rPr>
          <w:rFonts w:eastAsiaTheme="minorEastAsia"/>
        </w:rPr>
        <w:t>.</w:t>
      </w:r>
    </w:p>
    <w:p w14:paraId="2E93DF56" w14:textId="77777777" w:rsidR="009A6C4E" w:rsidRPr="00E97D2F" w:rsidRDefault="009A6C4E" w:rsidP="009A6C4E">
      <w:pPr>
        <w:pStyle w:val="ListParagraph"/>
        <w:ind w:left="0"/>
      </w:pPr>
    </w:p>
    <w:p w14:paraId="79EBB00B" w14:textId="3441C35E" w:rsidR="009A6C4E" w:rsidRPr="00E97D2F" w:rsidRDefault="009A6C4E" w:rsidP="009A6C4E">
      <w:pPr>
        <w:pStyle w:val="ListParagraph"/>
        <w:ind w:left="0"/>
      </w:pPr>
      <w:r w:rsidRPr="00E97D2F">
        <w:t xml:space="preserve">In the context of the problem, the t-test results mean that there is </w:t>
      </w:r>
      <w:r w:rsidR="006B5770">
        <w:t>an</w:t>
      </w:r>
      <w:r w:rsidRPr="00E97D2F">
        <w:t xml:space="preserve"> association between </w:t>
      </w:r>
      <w:r w:rsidR="006B5770">
        <w:t>serum</w:t>
      </w:r>
      <w:r w:rsidRPr="00E97D2F">
        <w:t xml:space="preserve"> K and eGFR. </w:t>
      </w:r>
      <w:r>
        <w:t>We</w:t>
      </w:r>
      <w:r w:rsidRPr="00E97D2F">
        <w:t xml:space="preserve"> hypothesized that higher </w:t>
      </w:r>
      <w:r w:rsidR="006B5770">
        <w:t>serum</w:t>
      </w:r>
      <w:r w:rsidRPr="00E97D2F">
        <w:t xml:space="preserve"> K will be associated with better kidney function</w:t>
      </w:r>
      <w:r w:rsidR="00303AA1">
        <w:t>.</w:t>
      </w:r>
      <w:r w:rsidRPr="00E97D2F">
        <w:t xml:space="preserve"> </w:t>
      </w:r>
      <w:r w:rsidR="00C3330C">
        <w:t xml:space="preserve">Our hypothesis is correct that there is an association between serum K and kidney function. </w:t>
      </w:r>
      <w:r w:rsidR="00E165E6">
        <w:t xml:space="preserve">However, since </w:t>
      </w:r>
      <w:r w:rsidR="003E3CAE">
        <w:t>eGFR is higher for individuals with low-normal serum K</w:t>
      </w:r>
      <w:r w:rsidR="00537B91">
        <w:t xml:space="preserve"> and higher eGFR is associated with better kidney function, the results do not align with our hypothesis.</w:t>
      </w:r>
      <w:r w:rsidR="00C3330C">
        <w:t xml:space="preserve"> Lower serum K is associated with better kidney function.</w:t>
      </w:r>
    </w:p>
    <w:p w14:paraId="61CD92FA" w14:textId="77777777" w:rsidR="009A6C4E" w:rsidRPr="00E97D2F" w:rsidRDefault="009A6C4E" w:rsidP="009A6C4E">
      <w:pPr>
        <w:pStyle w:val="ListParagraph"/>
        <w:ind w:left="0"/>
      </w:pPr>
    </w:p>
    <w:p w14:paraId="268C59C3" w14:textId="2E5C16BB" w:rsidR="009A6C4E" w:rsidRPr="002768DE" w:rsidRDefault="009A6C4E" w:rsidP="009A6C4E">
      <w:pPr>
        <w:pStyle w:val="ListParagraph"/>
        <w:ind w:left="0"/>
      </w:pPr>
      <w:r w:rsidRPr="00E97D2F">
        <w:t>The 95% confidence interval</w:t>
      </w:r>
      <w:r>
        <w:t xml:space="preserve"> for this aim</w:t>
      </w:r>
      <w:r w:rsidRPr="00E97D2F">
        <w:t xml:space="preserve"> was (-</w:t>
      </w:r>
      <w:r w:rsidR="007617DF">
        <w:t>10.847</w:t>
      </w:r>
      <w:r w:rsidRPr="00E97D2F">
        <w:t xml:space="preserve">, </w:t>
      </w:r>
      <w:r w:rsidR="00FD4F46">
        <w:t>-0.044</w:t>
      </w:r>
      <w:r w:rsidRPr="00E97D2F">
        <w:t xml:space="preserve">). We are 95% confident that the true mean difference in eGFR between individuals with </w:t>
      </w:r>
      <w:r w:rsidR="00FD4F46">
        <w:t xml:space="preserve">normal serum K </w:t>
      </w:r>
      <w:r w:rsidRPr="00E97D2F">
        <w:t xml:space="preserve">and individuals with </w:t>
      </w:r>
      <w:r w:rsidR="00FD4F46">
        <w:t xml:space="preserve">low-normal serum K </w:t>
      </w:r>
      <w:r w:rsidRPr="00E97D2F">
        <w:t>is between -</w:t>
      </w:r>
      <w:r w:rsidR="00FD4F46">
        <w:t>10.847</w:t>
      </w:r>
      <w:r w:rsidRPr="00E97D2F">
        <w:t xml:space="preserve"> and </w:t>
      </w:r>
      <w:r w:rsidR="00FD4F46">
        <w:t>-0.044</w:t>
      </w:r>
      <w:r w:rsidRPr="00E97D2F">
        <w:t>.</w:t>
      </w:r>
    </w:p>
    <w:p w14:paraId="4A75BD50" w14:textId="1C187645" w:rsidR="008A5413" w:rsidRDefault="008A5413" w:rsidP="008A5413">
      <w:pPr>
        <w:pStyle w:val="Heading2"/>
      </w:pPr>
      <w:r>
        <w:t>Analysis Results for Aim 4</w:t>
      </w:r>
    </w:p>
    <w:p w14:paraId="3CE47E81" w14:textId="67C4ECBA" w:rsidR="009E6A94" w:rsidRPr="00E97D2F" w:rsidRDefault="00AB5494" w:rsidP="00E97D2F">
      <w:pPr>
        <w:pStyle w:val="ListParagraph"/>
        <w:ind w:left="0"/>
      </w:pPr>
      <w:r w:rsidRPr="00E97D2F">
        <w:t xml:space="preserve">In our sample, we had </w:t>
      </w:r>
      <w:r w:rsidR="009E6A94" w:rsidRPr="00E97D2F">
        <w:t>207 individuals</w:t>
      </w:r>
      <w:r w:rsidRPr="00E97D2F">
        <w:t xml:space="preserve"> that</w:t>
      </w:r>
      <w:r w:rsidR="009E6A94" w:rsidRPr="00E97D2F">
        <w:t xml:space="preserve"> had inadequate dietary K intake and 61 individuals</w:t>
      </w:r>
      <w:r w:rsidRPr="00E97D2F">
        <w:t xml:space="preserve"> that</w:t>
      </w:r>
      <w:r w:rsidR="009E6A94" w:rsidRPr="00E97D2F">
        <w:t xml:space="preserve"> had borderline </w:t>
      </w:r>
      <w:r w:rsidRPr="00E97D2F">
        <w:t xml:space="preserve">adequate </w:t>
      </w:r>
      <w:r w:rsidR="009E6A94" w:rsidRPr="00E97D2F">
        <w:t>or adequate dietary K intake.</w:t>
      </w:r>
      <w:r w:rsidR="00270A05" w:rsidRPr="00E97D2F">
        <w:t xml:space="preserve"> We compared the variances using both the rule of thumb and the variance ratio test.</w:t>
      </w:r>
    </w:p>
    <w:p w14:paraId="08BA951C" w14:textId="78F6F81C" w:rsidR="008D55E2" w:rsidRPr="00E97D2F" w:rsidRDefault="008D55E2" w:rsidP="00E97D2F">
      <w:pPr>
        <w:pStyle w:val="ListParagraph"/>
        <w:ind w:left="0"/>
      </w:pPr>
    </w:p>
    <w:p w14:paraId="00A64346" w14:textId="297D2D96" w:rsidR="008D55E2" w:rsidRPr="00E97D2F" w:rsidRDefault="008D55E2" w:rsidP="00E97D2F">
      <w:pPr>
        <w:pStyle w:val="ListParagraph"/>
        <w:ind w:left="0"/>
      </w:pPr>
      <w:r w:rsidRPr="00E97D2F">
        <w:t xml:space="preserve">For the rule of thumb, </w:t>
      </w:r>
      <w:r w:rsidR="00E97D2F">
        <w:t>we</w:t>
      </w:r>
      <w:r w:rsidRPr="00E97D2F">
        <w:t xml:space="preserve"> found that the ratio of the variances is 1.925 which is not greater than 3. </w:t>
      </w:r>
    </w:p>
    <w:p w14:paraId="056F8CEE" w14:textId="7295F848" w:rsidR="008D55E2" w:rsidRDefault="008D55E2" w:rsidP="00E97D2F">
      <w:pPr>
        <w:pStyle w:val="ListParagraph"/>
        <w:ind w:left="0"/>
      </w:pPr>
      <w:r w:rsidRPr="00E97D2F">
        <w:t xml:space="preserve">For the variance ratio test, </w:t>
      </w:r>
      <w:r w:rsidR="00E97D2F">
        <w:t>we</w:t>
      </w:r>
      <w:r w:rsidRPr="00E97D2F">
        <w:t xml:space="preserve"> did a hypothesis test with the following steps:</w:t>
      </w:r>
    </w:p>
    <w:p w14:paraId="7E62D2C5" w14:textId="77777777" w:rsidR="00003292" w:rsidRPr="00E97D2F" w:rsidRDefault="00003292" w:rsidP="00E97D2F">
      <w:pPr>
        <w:pStyle w:val="ListParagraph"/>
        <w:ind w:left="0"/>
      </w:pPr>
    </w:p>
    <w:p w14:paraId="237E384B" w14:textId="50AE6CE6" w:rsidR="008D55E2" w:rsidRPr="00E97D2F" w:rsidRDefault="008D55E2" w:rsidP="00E97D2F">
      <w:pPr>
        <w:pStyle w:val="ListParagraph"/>
        <w:ind w:left="0"/>
      </w:pPr>
      <w:r w:rsidRPr="00E97D2F">
        <w:t xml:space="preserve">Step 1: </w:t>
      </w:r>
      <w:r w:rsidR="00E97D2F">
        <w:t>We</w:t>
      </w:r>
      <w:r w:rsidRPr="00E97D2F">
        <w:t xml:space="preserve"> assumed that eGFR among individuals with inadequate dietary K intake and individuals with borderline </w:t>
      </w:r>
      <w:r w:rsidR="001C3C0F">
        <w:t xml:space="preserve">adequate </w:t>
      </w:r>
      <w:r w:rsidRPr="00E97D2F">
        <w:t xml:space="preserve">or adequate dietary K intake are independent and normally distributed. </w:t>
      </w:r>
    </w:p>
    <w:p w14:paraId="3C424C34" w14:textId="0476E167" w:rsidR="008D55E2" w:rsidRPr="00E97D2F" w:rsidRDefault="008D55E2" w:rsidP="00E97D2F">
      <w:pPr>
        <w:pStyle w:val="ListParagraph"/>
        <w:ind w:left="0"/>
        <w:rPr>
          <w:rFonts w:eastAsiaTheme="minorEastAsia"/>
        </w:rPr>
      </w:pPr>
      <w:r w:rsidRPr="00E97D2F">
        <w:t xml:space="preserve">Step 2: </w:t>
      </w:r>
      <w:r w:rsidR="001C3C0F">
        <w:t>We</w:t>
      </w:r>
      <w:r w:rsidRPr="00E97D2F">
        <w:t xml:space="preserve"> set up </w:t>
      </w:r>
      <w:r w:rsidR="001C3C0F">
        <w:t>our</w:t>
      </w:r>
      <w:r w:rsidRPr="00E97D2F">
        <w:t xml:space="preserv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oMath>
      <w:r w:rsidRPr="00E97D2F">
        <w:rPr>
          <w:rFonts w:eastAsiaTheme="minorEastAsia"/>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Pr="00E97D2F">
        <w:rPr>
          <w:rFonts w:eastAsiaTheme="minorEastAsia"/>
        </w:rPr>
        <w:t xml:space="preserve"> is the population variance of eGFR among </w:t>
      </w:r>
      <w:r w:rsidRPr="00E97D2F">
        <w:t xml:space="preserve">individuals with inadequate dietary K intake </w:t>
      </w:r>
      <w:r w:rsidRPr="00E97D2F">
        <w:rPr>
          <w:rFonts w:eastAsiaTheme="minorEastAsia"/>
        </w:rPr>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E97D2F">
        <w:rPr>
          <w:rFonts w:eastAsiaTheme="minorEastAsia"/>
        </w:rPr>
        <w:t xml:space="preserve"> is the population variance of eGFR among </w:t>
      </w:r>
      <w:r w:rsidRPr="00E97D2F">
        <w:t>individuals with borderline</w:t>
      </w:r>
      <w:r w:rsidR="001C3C0F">
        <w:t xml:space="preserve"> adequate</w:t>
      </w:r>
      <w:r w:rsidRPr="00E97D2F">
        <w:t xml:space="preserve"> or adequate dietary K intake</w:t>
      </w:r>
      <w:r w:rsidRPr="00E97D2F">
        <w:rPr>
          <w:rFonts w:eastAsiaTheme="minorEastAsia"/>
        </w:rPr>
        <w:t>.</w:t>
      </w:r>
    </w:p>
    <w:p w14:paraId="56722EDC" w14:textId="77777777" w:rsidR="008D55E2" w:rsidRPr="00E97D2F" w:rsidRDefault="008D55E2" w:rsidP="00E97D2F">
      <w:pPr>
        <w:pStyle w:val="ListParagraph"/>
        <w:ind w:left="0"/>
        <w:rPr>
          <w:rFonts w:eastAsiaTheme="minorEastAsia"/>
        </w:rPr>
      </w:pPr>
      <w:r w:rsidRPr="00E97D2F">
        <w:rPr>
          <w:rFonts w:eastAsiaTheme="minorEastAsia"/>
        </w:rPr>
        <w:t xml:space="preserve">Step 3: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E97D2F">
        <w:rPr>
          <w:rFonts w:eastAsiaTheme="minorEastAsia"/>
        </w:rPr>
        <w:t xml:space="preserve">, </w:t>
      </w:r>
      <m:oMath>
        <m:r>
          <w:rPr>
            <w:rFonts w:ascii="Cambria Math" w:eastAsiaTheme="minorEastAsia" w:hAnsi="Cambria Math"/>
          </w:rPr>
          <m:t xml:space="preserve">F=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sub>
        </m:sSub>
      </m:oMath>
    </w:p>
    <w:p w14:paraId="757C867C" w14:textId="77777777" w:rsidR="008D55E2" w:rsidRPr="00E97D2F" w:rsidRDefault="008D55E2" w:rsidP="00E97D2F">
      <w:pPr>
        <w:pStyle w:val="ListParagraph"/>
        <w:ind w:left="0"/>
        <w:rPr>
          <w:rFonts w:eastAsiaTheme="minorEastAsia"/>
        </w:rPr>
      </w:pPr>
      <w:r w:rsidRPr="00E97D2F">
        <w:rPr>
          <w:rFonts w:eastAsiaTheme="minorEastAsia"/>
        </w:rPr>
        <w:t xml:space="preserve">Step 4: F = </w:t>
      </w:r>
      <m:oMath>
        <m:f>
          <m:fPr>
            <m:ctrlPr>
              <w:rPr>
                <w:rFonts w:ascii="Cambria Math" w:eastAsiaTheme="minorEastAsia" w:hAnsi="Cambria Math"/>
                <w:i/>
              </w:rPr>
            </m:ctrlPr>
          </m:fPr>
          <m:num>
            <m:r>
              <w:rPr>
                <w:rFonts w:ascii="Cambria Math" w:eastAsiaTheme="minorEastAsia" w:hAnsi="Cambria Math"/>
              </w:rPr>
              <m:t>605.090</m:t>
            </m:r>
          </m:num>
          <m:den>
            <m:r>
              <w:rPr>
                <w:rFonts w:ascii="Cambria Math" w:eastAsiaTheme="minorEastAsia" w:hAnsi="Cambria Math"/>
              </w:rPr>
              <m:t>314.380</m:t>
            </m:r>
          </m:den>
        </m:f>
        <m:r>
          <w:rPr>
            <w:rFonts w:ascii="Cambria Math" w:eastAsiaTheme="minorEastAsia" w:hAnsi="Cambria Math"/>
          </w:rPr>
          <m:t xml:space="preserve">=1.925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206, 60</m:t>
            </m:r>
          </m:sub>
        </m:sSub>
      </m:oMath>
      <w:r w:rsidRPr="00E97D2F">
        <w:rPr>
          <w:rFonts w:eastAsiaTheme="minorEastAsia"/>
        </w:rPr>
        <w:t xml:space="preserve"> The p-value is 2 x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F&gt;1.925</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r>
          <w:rPr>
            <w:rFonts w:ascii="Cambria Math" w:eastAsiaTheme="minorEastAsia" w:hAnsi="Cambria Math"/>
          </w:rPr>
          <m:t>=0.0035</m:t>
        </m:r>
      </m:oMath>
    </w:p>
    <w:p w14:paraId="454037B6" w14:textId="127EBEC6" w:rsidR="008D55E2" w:rsidRPr="00E97D2F" w:rsidRDefault="008D55E2" w:rsidP="00E97D2F">
      <w:pPr>
        <w:pStyle w:val="ListParagraph"/>
        <w:ind w:left="0"/>
        <w:rPr>
          <w:rFonts w:eastAsiaTheme="minorEastAsia"/>
        </w:rPr>
      </w:pPr>
      <w:r w:rsidRPr="00E97D2F">
        <w:rPr>
          <w:rFonts w:eastAsiaTheme="minorEastAsia"/>
        </w:rPr>
        <w:t xml:space="preserve">Step 5: Using an alpha level of 0.05, </w:t>
      </w:r>
      <w:r w:rsidR="001C3C0F">
        <w:rPr>
          <w:rFonts w:eastAsiaTheme="minorEastAsia"/>
        </w:rPr>
        <w:t>we</w:t>
      </w:r>
      <w:r w:rsidRPr="00E97D2F">
        <w:rPr>
          <w:rFonts w:eastAsiaTheme="minorEastAsia"/>
        </w:rPr>
        <w:t xml:space="preserve"> concluded that there is enough evidence to say that the variances are different from each other.</w:t>
      </w:r>
    </w:p>
    <w:p w14:paraId="4BA613EA" w14:textId="77777777" w:rsidR="008D55E2" w:rsidRPr="00E97D2F" w:rsidRDefault="008D55E2" w:rsidP="00E97D2F">
      <w:pPr>
        <w:pStyle w:val="ListParagraph"/>
        <w:ind w:left="0"/>
        <w:rPr>
          <w:rFonts w:eastAsiaTheme="minorEastAsia"/>
        </w:rPr>
      </w:pPr>
    </w:p>
    <w:p w14:paraId="3D56C6D5" w14:textId="10FFCC4E" w:rsidR="008D55E2" w:rsidRPr="00E97D2F" w:rsidRDefault="008D55E2" w:rsidP="00E97D2F">
      <w:pPr>
        <w:pStyle w:val="ListParagraph"/>
        <w:ind w:left="0"/>
        <w:rPr>
          <w:rFonts w:eastAsiaTheme="minorEastAsia"/>
        </w:rPr>
      </w:pPr>
      <w:r w:rsidRPr="00E97D2F">
        <w:rPr>
          <w:rFonts w:eastAsiaTheme="minorEastAsia"/>
        </w:rPr>
        <w:t xml:space="preserve">Although </w:t>
      </w:r>
      <w:r w:rsidR="001C3C0F">
        <w:rPr>
          <w:rFonts w:eastAsiaTheme="minorEastAsia"/>
        </w:rPr>
        <w:t xml:space="preserve">the </w:t>
      </w:r>
      <w:r w:rsidRPr="00E97D2F">
        <w:rPr>
          <w:rFonts w:eastAsiaTheme="minorEastAsia"/>
        </w:rPr>
        <w:t xml:space="preserve">result of the rule of thumb indicated that equal variances could be used, </w:t>
      </w:r>
      <w:r w:rsidR="009F495E">
        <w:rPr>
          <w:rFonts w:eastAsiaTheme="minorEastAsia"/>
        </w:rPr>
        <w:t>we</w:t>
      </w:r>
      <w:r w:rsidRPr="00E97D2F">
        <w:rPr>
          <w:rFonts w:eastAsiaTheme="minorEastAsia"/>
        </w:rPr>
        <w:t xml:space="preserve"> chose to assume unequal variances for the two-sample t-test based on the result of the variance ratio test. Since </w:t>
      </w:r>
      <w:r w:rsidR="009F495E">
        <w:rPr>
          <w:rFonts w:eastAsiaTheme="minorEastAsia"/>
        </w:rPr>
        <w:t>we</w:t>
      </w:r>
      <w:r w:rsidRPr="00E97D2F">
        <w:rPr>
          <w:rFonts w:eastAsiaTheme="minorEastAsia"/>
        </w:rPr>
        <w:t xml:space="preserve"> assumed unequal variances for the two-sample t-test, </w:t>
      </w:r>
      <w:r w:rsidR="009F495E">
        <w:rPr>
          <w:rFonts w:eastAsiaTheme="minorEastAsia"/>
        </w:rPr>
        <w:t>we</w:t>
      </w:r>
      <w:r w:rsidRPr="00E97D2F">
        <w:rPr>
          <w:rFonts w:eastAsiaTheme="minorEastAsia"/>
        </w:rPr>
        <w:t xml:space="preserve"> used the Satterthwaite approximation to find the degrees of freedom for the t-test using the following formula:</w:t>
      </w:r>
    </w:p>
    <w:p w14:paraId="4516B684" w14:textId="77777777" w:rsidR="008D55E2" w:rsidRPr="00E97D2F" w:rsidRDefault="008D55E2" w:rsidP="00E97D2F">
      <w:pPr>
        <w:pStyle w:val="ListParagraph"/>
        <w:ind w:left="0"/>
        <w:rPr>
          <w:rFonts w:eastAsiaTheme="minorEastAsia"/>
        </w:rPr>
      </w:pPr>
      <m:oMath>
        <m:r>
          <w:rPr>
            <w:rFonts w:ascii="Cambria Math" w:eastAsiaTheme="minorEastAsia" w:hAnsi="Cambria Math"/>
          </w:rPr>
          <m:t xml:space="preserve">ν=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ν</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ν</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den>
        </m:f>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 xml:space="preserve"> for i=1,2 </m:t>
        </m:r>
      </m:oMath>
      <w:r w:rsidRPr="00E97D2F">
        <w:rPr>
          <w:rFonts w:eastAsiaTheme="minorEastAsia"/>
        </w:rPr>
        <w:t xml:space="preserve">  So </w:t>
      </w:r>
      <m:oMath>
        <m:r>
          <w:rPr>
            <w:rFonts w:ascii="Cambria Math" w:eastAsiaTheme="minorEastAsia" w:hAnsi="Cambria Math"/>
          </w:rPr>
          <m:t xml:space="preserve">ν=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(2.923+ 5.154)</m:t>
                </m:r>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8.545</m:t>
                </m:r>
              </m:num>
              <m:den>
                <m:r>
                  <w:rPr>
                    <w:rFonts w:ascii="Cambria Math" w:eastAsiaTheme="minorEastAsia" w:hAnsi="Cambria Math"/>
                  </w:rPr>
                  <m:t>207-1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26.561</m:t>
                </m:r>
              </m:num>
              <m:den>
                <m:r>
                  <w:rPr>
                    <w:rFonts w:ascii="Cambria Math" w:eastAsiaTheme="minorEastAsia" w:hAnsi="Cambria Math"/>
                  </w:rPr>
                  <m:t>61-1</m:t>
                </m:r>
              </m:den>
            </m:f>
          </m:den>
        </m:f>
        <m:r>
          <w:rPr>
            <w:rFonts w:ascii="Cambria Math" w:eastAsiaTheme="minorEastAsia" w:hAnsi="Cambria Math"/>
          </w:rPr>
          <m:t>=134.739</m:t>
        </m:r>
      </m:oMath>
    </w:p>
    <w:p w14:paraId="35993911" w14:textId="17A321E2" w:rsidR="008D55E2" w:rsidRPr="00E97D2F" w:rsidRDefault="008D55E2" w:rsidP="00E97D2F">
      <w:pPr>
        <w:pStyle w:val="ListParagraph"/>
        <w:ind w:left="0"/>
      </w:pPr>
    </w:p>
    <w:p w14:paraId="09FA0E78" w14:textId="1D32B771" w:rsidR="009F495E" w:rsidRDefault="009F495E" w:rsidP="00E97D2F">
      <w:pPr>
        <w:pStyle w:val="ListParagraph"/>
        <w:ind w:left="0"/>
        <w:rPr>
          <w:rFonts w:eastAsiaTheme="minorEastAsia"/>
        </w:rPr>
      </w:pPr>
      <w:r>
        <w:rPr>
          <w:rFonts w:eastAsiaTheme="minorEastAsia"/>
        </w:rPr>
        <w:t xml:space="preserve">Now that we had </w:t>
      </w:r>
      <w:r w:rsidR="00082ADD">
        <w:rPr>
          <w:rFonts w:eastAsiaTheme="minorEastAsia"/>
        </w:rPr>
        <w:t xml:space="preserve">our new degrees of freedom </w:t>
      </w:r>
      <w:r>
        <w:rPr>
          <w:rFonts w:eastAsiaTheme="minorEastAsia"/>
        </w:rPr>
        <w:t xml:space="preserve">and knew the correct two-sample t-test formula to use, we ran our hypothesis test to compare mean </w:t>
      </w:r>
      <w:r w:rsidR="00082ADD">
        <w:rPr>
          <w:rFonts w:eastAsiaTheme="minorEastAsia"/>
        </w:rPr>
        <w:t>eGFR</w:t>
      </w:r>
      <w:r>
        <w:rPr>
          <w:rFonts w:eastAsiaTheme="minorEastAsia"/>
        </w:rPr>
        <w:t xml:space="preserve"> </w:t>
      </w:r>
      <w:r w:rsidR="00D80F0F">
        <w:rPr>
          <w:rFonts w:eastAsiaTheme="minorEastAsia"/>
        </w:rPr>
        <w:t>between</w:t>
      </w:r>
      <w:r>
        <w:rPr>
          <w:rFonts w:eastAsiaTheme="minorEastAsia"/>
        </w:rPr>
        <w:t xml:space="preserve"> individuals with </w:t>
      </w:r>
      <w:r w:rsidR="00685B7D">
        <w:rPr>
          <w:rFonts w:eastAsiaTheme="minorEastAsia"/>
        </w:rPr>
        <w:t xml:space="preserve">inadequate dietary K intake </w:t>
      </w:r>
      <w:r w:rsidR="00D80F0F">
        <w:rPr>
          <w:rFonts w:eastAsiaTheme="minorEastAsia"/>
        </w:rPr>
        <w:t>and individuals with borderline adequate or adequate dietary K intake</w:t>
      </w:r>
      <w:r>
        <w:rPr>
          <w:rFonts w:eastAsiaTheme="minorEastAsia"/>
        </w:rPr>
        <w:t xml:space="preserve"> using the following steps:</w:t>
      </w:r>
    </w:p>
    <w:p w14:paraId="3DB41C07" w14:textId="77777777" w:rsidR="00003292" w:rsidRPr="00003292" w:rsidRDefault="00003292" w:rsidP="00E97D2F">
      <w:pPr>
        <w:pStyle w:val="ListParagraph"/>
        <w:ind w:left="0"/>
        <w:rPr>
          <w:rFonts w:eastAsiaTheme="minorEastAsia"/>
        </w:rPr>
      </w:pPr>
    </w:p>
    <w:p w14:paraId="22D50E7F" w14:textId="09FD85B5" w:rsidR="00342AC7" w:rsidRPr="00E97D2F" w:rsidRDefault="00342AC7" w:rsidP="00E97D2F">
      <w:pPr>
        <w:pStyle w:val="ListParagraph"/>
        <w:ind w:left="0"/>
        <w:rPr>
          <w:rFonts w:eastAsiaTheme="minorEastAsia"/>
        </w:rPr>
      </w:pPr>
      <w:r w:rsidRPr="00E97D2F">
        <w:t xml:space="preserve">Step 1: </w:t>
      </w:r>
      <w:r w:rsidR="00003292">
        <w:t>We</w:t>
      </w:r>
      <w:r w:rsidRPr="00E97D2F">
        <w:t xml:space="preserve"> assumed that the two populations are independent, that eGFR among individuals with inadequate dietary K intake ~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r>
          <w:rPr>
            <w:rFonts w:ascii="Cambria Math" w:hAnsi="Cambria Math"/>
          </w:rPr>
          <m:t>)</m:t>
        </m:r>
      </m:oMath>
      <w:r w:rsidRPr="00E97D2F">
        <w:rPr>
          <w:rFonts w:eastAsiaTheme="minorEastAsia"/>
        </w:rPr>
        <w:t xml:space="preserve"> and that eGFR among individuals with borderline</w:t>
      </w:r>
      <w:r w:rsidR="00193648">
        <w:rPr>
          <w:rFonts w:eastAsiaTheme="minorEastAsia"/>
        </w:rPr>
        <w:t xml:space="preserve"> adequate</w:t>
      </w:r>
      <w:r w:rsidRPr="00E97D2F">
        <w:rPr>
          <w:rFonts w:eastAsiaTheme="minorEastAsia"/>
        </w:rPr>
        <w:t xml:space="preserve"> or adequate dietary K intake </w:t>
      </w:r>
      <w:r w:rsidRPr="00E97D2F">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4</m:t>
            </m:r>
          </m:sub>
          <m:sup>
            <m:r>
              <w:rPr>
                <w:rFonts w:ascii="Cambria Math" w:hAnsi="Cambria Math"/>
              </w:rPr>
              <m:t>2</m:t>
            </m:r>
          </m:sup>
        </m:sSubSup>
        <m:r>
          <w:rPr>
            <w:rFonts w:ascii="Cambria Math" w:hAnsi="Cambria Math"/>
          </w:rPr>
          <m:t>)</m:t>
        </m:r>
      </m:oMath>
      <w:r w:rsidRPr="00E97D2F">
        <w:rPr>
          <w:rFonts w:eastAsiaTheme="minorEastAsia"/>
        </w:rPr>
        <w:t>.</w:t>
      </w:r>
    </w:p>
    <w:p w14:paraId="6299DA61" w14:textId="007EB400" w:rsidR="00342AC7" w:rsidRPr="00E97D2F" w:rsidRDefault="00342AC7" w:rsidP="00E97D2F">
      <w:pPr>
        <w:pStyle w:val="ListParagraph"/>
        <w:ind w:left="0"/>
        <w:rPr>
          <w:rFonts w:eastAsiaTheme="minorEastAsia"/>
        </w:rPr>
      </w:pPr>
      <w:r w:rsidRPr="00E97D2F">
        <w:t xml:space="preserve">Step 2: </w:t>
      </w:r>
      <w:r w:rsidR="00193648">
        <w:t>We</w:t>
      </w:r>
      <w:r w:rsidRPr="00E97D2F">
        <w:t xml:space="preserve"> set up </w:t>
      </w:r>
      <w:r w:rsidR="00193648">
        <w:t>our</w:t>
      </w:r>
      <w:r w:rsidRPr="00E97D2F">
        <w:t xml:space="preserv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δ=0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δ≠0</m:t>
        </m:r>
      </m:oMath>
      <w:r w:rsidRPr="00E97D2F">
        <w:rPr>
          <w:rFonts w:eastAsiaTheme="minorEastAsia"/>
        </w:rPr>
        <w:t xml:space="preserve"> where </w:t>
      </w:r>
      <m:oMath>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oMath>
      <w:r w:rsidRPr="00E97D2F">
        <w:rPr>
          <w:rFonts w:eastAsiaTheme="minorEastAsia"/>
        </w:rPr>
        <w:t xml:space="preserve"> is the unknown difference in mean eGFR between individuals with inadequate dietary K intake and individuals with borderline</w:t>
      </w:r>
      <w:r w:rsidR="00193648">
        <w:rPr>
          <w:rFonts w:eastAsiaTheme="minorEastAsia"/>
        </w:rPr>
        <w:t xml:space="preserve"> adequate</w:t>
      </w:r>
      <w:r w:rsidRPr="00E97D2F">
        <w:rPr>
          <w:rFonts w:eastAsiaTheme="minorEastAsia"/>
        </w:rPr>
        <w:t xml:space="preserve"> or adequate dietary K intake.</w:t>
      </w:r>
    </w:p>
    <w:p w14:paraId="435B9693" w14:textId="77777777" w:rsidR="00342AC7" w:rsidRPr="00E97D2F" w:rsidRDefault="00342AC7" w:rsidP="00E97D2F">
      <w:pPr>
        <w:pStyle w:val="ListParagraph"/>
        <w:ind w:left="0"/>
        <w:rPr>
          <w:rFonts w:eastAsiaTheme="minorEastAsia"/>
        </w:rPr>
      </w:pPr>
      <w:r w:rsidRPr="00E97D2F">
        <w:rPr>
          <w:rFonts w:eastAsiaTheme="minorEastAsia"/>
        </w:rPr>
        <w:t xml:space="preserve">Step 3: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type m:val="skw"/>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type m:val="skw"/>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 xml:space="preserve"> </m:t>
                </m:r>
              </m:e>
            </m:rad>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ν</m:t>
            </m:r>
          </m:sub>
        </m:sSub>
      </m:oMath>
      <w:r w:rsidRPr="00E97D2F">
        <w:rPr>
          <w:rFonts w:eastAsiaTheme="minorEastAsia"/>
        </w:rPr>
        <w:t xml:space="preserve"> </w:t>
      </w:r>
    </w:p>
    <w:p w14:paraId="2BAC6F5A" w14:textId="77777777" w:rsidR="00342AC7" w:rsidRPr="00E97D2F" w:rsidRDefault="00342AC7" w:rsidP="00E97D2F">
      <w:pPr>
        <w:pStyle w:val="ListParagraph"/>
        <w:ind w:left="0"/>
        <w:rPr>
          <w:rFonts w:eastAsiaTheme="minorEastAsia"/>
        </w:rPr>
      </w:pPr>
      <w:r w:rsidRPr="00E97D2F">
        <w:rPr>
          <w:rFonts w:eastAsiaTheme="minorEastAsia"/>
        </w:rPr>
        <w:t xml:space="preserve">Step 4: T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89.711-87.541</m:t>
                </m:r>
              </m:e>
            </m:d>
            <m:r>
              <w:rPr>
                <w:rFonts w:ascii="Cambria Math" w:eastAsiaTheme="minorEastAsia" w:hAnsi="Cambria Math"/>
              </w:rPr>
              <m:t>-0</m:t>
            </m:r>
          </m:num>
          <m:den>
            <m:rad>
              <m:radPr>
                <m:degHide m:val="1"/>
                <m:ctrlPr>
                  <w:rPr>
                    <w:rFonts w:ascii="Cambria Math" w:eastAsiaTheme="minorEastAsia" w:hAnsi="Cambria Math"/>
                    <w:i/>
                  </w:rPr>
                </m:ctrlPr>
              </m:radPr>
              <m:deg/>
              <m:e>
                <m:f>
                  <m:fPr>
                    <m:type m:val="skw"/>
                    <m:ctrlPr>
                      <w:rPr>
                        <w:rFonts w:ascii="Cambria Math" w:eastAsiaTheme="minorEastAsia" w:hAnsi="Cambria Math"/>
                        <w:i/>
                      </w:rPr>
                    </m:ctrlPr>
                  </m:fPr>
                  <m:num>
                    <m:r>
                      <w:rPr>
                        <w:rFonts w:ascii="Cambria Math" w:eastAsiaTheme="minorEastAsia" w:hAnsi="Cambria Math"/>
                      </w:rPr>
                      <m:t>605.090</m:t>
                    </m:r>
                  </m:num>
                  <m:den>
                    <m:r>
                      <w:rPr>
                        <w:rFonts w:ascii="Cambria Math" w:eastAsiaTheme="minorEastAsia" w:hAnsi="Cambria Math"/>
                      </w:rPr>
                      <m:t>207</m:t>
                    </m:r>
                  </m:den>
                </m:f>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314.380</m:t>
                    </m:r>
                  </m:num>
                  <m:den>
                    <m:r>
                      <w:rPr>
                        <w:rFonts w:ascii="Cambria Math" w:eastAsiaTheme="minorEastAsia" w:hAnsi="Cambria Math"/>
                      </w:rPr>
                      <m:t>61</m:t>
                    </m:r>
                  </m:den>
                </m:f>
              </m:e>
            </m:rad>
          </m:den>
        </m:f>
        <m:r>
          <w:rPr>
            <w:rFonts w:ascii="Cambria Math" w:eastAsiaTheme="minorEastAsia" w:hAnsi="Cambria Math"/>
          </w:rPr>
          <m:t>=0.764</m:t>
        </m:r>
      </m:oMath>
    </w:p>
    <w:p w14:paraId="1138A365" w14:textId="77777777" w:rsidR="00342AC7" w:rsidRPr="00E97D2F" w:rsidRDefault="00342AC7" w:rsidP="00E97D2F">
      <w:pPr>
        <w:pStyle w:val="ListParagraph"/>
        <w:ind w:left="0"/>
        <w:rPr>
          <w:rFonts w:eastAsiaTheme="minorEastAsia"/>
        </w:rPr>
      </w:pPr>
      <w:r w:rsidRPr="00E97D2F">
        <w:rPr>
          <w:rFonts w:eastAsiaTheme="minorEastAsia"/>
        </w:rPr>
        <w:t>The p-value is 2 x P(T &gt; 0.764) = 0.446</w:t>
      </w:r>
    </w:p>
    <w:p w14:paraId="44E1090C" w14:textId="77777777" w:rsidR="00342AC7" w:rsidRPr="00E97D2F" w:rsidRDefault="00342AC7" w:rsidP="00E97D2F">
      <w:pPr>
        <w:pStyle w:val="ListParagraph"/>
        <w:ind w:left="0"/>
        <w:rPr>
          <w:rFonts w:eastAsiaTheme="minorEastAsia"/>
        </w:rPr>
      </w:pPr>
    </w:p>
    <w:p w14:paraId="0824E369" w14:textId="6CA70C8B" w:rsidR="00342AC7" w:rsidRPr="00E97D2F" w:rsidRDefault="00342AC7" w:rsidP="00E97D2F">
      <w:pPr>
        <w:pStyle w:val="ListParagraph"/>
        <w:ind w:left="0"/>
        <w:rPr>
          <w:rFonts w:eastAsiaTheme="minorEastAsia"/>
        </w:rPr>
      </w:pPr>
      <w:r w:rsidRPr="00E97D2F">
        <w:rPr>
          <w:rFonts w:eastAsiaTheme="minorEastAsia"/>
        </w:rPr>
        <w:t xml:space="preserve">Step 5: Using an alpha level of 0.05, </w:t>
      </w:r>
      <w:r w:rsidR="00193648">
        <w:rPr>
          <w:rFonts w:eastAsiaTheme="minorEastAsia"/>
        </w:rPr>
        <w:t>we</w:t>
      </w:r>
      <w:r w:rsidRPr="00E97D2F">
        <w:rPr>
          <w:rFonts w:eastAsiaTheme="minorEastAsia"/>
        </w:rPr>
        <w:t xml:space="preserve"> concluded that there is not sufficient evidence to say that mean eGFR is different between individuals with inadequate dietary K intake and individuals with borderline</w:t>
      </w:r>
      <w:r w:rsidR="00193648">
        <w:rPr>
          <w:rFonts w:eastAsiaTheme="minorEastAsia"/>
        </w:rPr>
        <w:t xml:space="preserve"> adequate</w:t>
      </w:r>
      <w:r w:rsidRPr="00E97D2F">
        <w:rPr>
          <w:rFonts w:eastAsiaTheme="minorEastAsia"/>
        </w:rPr>
        <w:t xml:space="preserve"> or adequate dietary K intake.</w:t>
      </w:r>
    </w:p>
    <w:p w14:paraId="6857A20E" w14:textId="2FCD31FF" w:rsidR="008D55E2" w:rsidRPr="00E97D2F" w:rsidRDefault="008D55E2" w:rsidP="00E97D2F">
      <w:pPr>
        <w:pStyle w:val="ListParagraph"/>
        <w:ind w:left="0"/>
      </w:pPr>
    </w:p>
    <w:p w14:paraId="38F0D87D" w14:textId="068CD16E" w:rsidR="00701D2F" w:rsidRPr="00E97D2F" w:rsidRDefault="00701D2F" w:rsidP="00E97D2F">
      <w:pPr>
        <w:pStyle w:val="ListParagraph"/>
        <w:ind w:left="0"/>
      </w:pPr>
      <w:r w:rsidRPr="00E97D2F">
        <w:t xml:space="preserve">In the context of the problem, the t-test results mean that there is no association between dietary K intake and eGFR. </w:t>
      </w:r>
      <w:r w:rsidR="002768DE">
        <w:t>We</w:t>
      </w:r>
      <w:r w:rsidRPr="00E97D2F">
        <w:t xml:space="preserve"> hypothesized that higher dietary K will be associated with better kidney function, however, there was no significant difference in mean eGFR between individuals with inadequate dietary K intake and individuals with borderline or adequate dietary K intake, so the results do not align with the hypothesis.</w:t>
      </w:r>
    </w:p>
    <w:p w14:paraId="6E03D2FC" w14:textId="5F305392" w:rsidR="00342AC7" w:rsidRPr="00E97D2F" w:rsidRDefault="00342AC7" w:rsidP="00E97D2F">
      <w:pPr>
        <w:pStyle w:val="ListParagraph"/>
        <w:ind w:left="0"/>
      </w:pPr>
    </w:p>
    <w:p w14:paraId="5C02F4E9" w14:textId="7D4B9BFD" w:rsidR="00701D2F" w:rsidRPr="002768DE" w:rsidRDefault="00396BA6" w:rsidP="002768DE">
      <w:pPr>
        <w:pStyle w:val="ListParagraph"/>
        <w:ind w:left="0"/>
      </w:pPr>
      <w:r w:rsidRPr="00E97D2F">
        <w:t>The 95% confidence interval</w:t>
      </w:r>
      <w:r w:rsidR="002768DE">
        <w:t xml:space="preserve"> for this aim</w:t>
      </w:r>
      <w:r w:rsidRPr="00E97D2F">
        <w:t xml:space="preserve"> was (-3.450, 7.791). We are 95% confident that the true mean difference in eGFR between individuals with inadequate dietary K intake and individuals with borderline or adequate dietary K intake is between -3.450 and 7.791.</w:t>
      </w:r>
    </w:p>
    <w:p w14:paraId="1E0C08EE" w14:textId="77777777" w:rsidR="008A2A60" w:rsidRDefault="00422786" w:rsidP="00422786">
      <w:pPr>
        <w:pStyle w:val="Heading1"/>
      </w:pPr>
      <w:r>
        <w:t>Addendum for Post-Hoc Analyses</w:t>
      </w:r>
    </w:p>
    <w:p w14:paraId="68DB82A1" w14:textId="43D96C34" w:rsidR="008A5413" w:rsidRPr="008A5413" w:rsidRDefault="00BD28D3" w:rsidP="008A5413">
      <w:r>
        <w:t>Not needed</w:t>
      </w:r>
      <w:r w:rsidR="00C1402A">
        <w:t xml:space="preserve"> for this analysis.</w:t>
      </w:r>
    </w:p>
    <w:p w14:paraId="327A4757" w14:textId="646E4A6C" w:rsidR="00A5711E" w:rsidRDefault="00A5711E" w:rsidP="00A5711E">
      <w:pPr>
        <w:pStyle w:val="Heading1"/>
      </w:pPr>
      <w:r>
        <w:t>Appendix</w:t>
      </w:r>
    </w:p>
    <w:p w14:paraId="55FBC2FF" w14:textId="77A4D602" w:rsidR="0011132D" w:rsidRDefault="0011132D" w:rsidP="0011132D">
      <w:r>
        <w:t>Table 1: Demographic and clinical characteristics of study participants at</w:t>
      </w:r>
    </w:p>
    <w:tbl>
      <w:tblPr>
        <w:tblStyle w:val="TableGrid"/>
        <w:tblW w:w="8861" w:type="dxa"/>
        <w:tblInd w:w="355" w:type="dxa"/>
        <w:tblBorders>
          <w:insideH w:val="none" w:sz="0" w:space="0" w:color="auto"/>
          <w:insideV w:val="none" w:sz="0" w:space="0" w:color="auto"/>
        </w:tblBorders>
        <w:tblLayout w:type="fixed"/>
        <w:tblLook w:val="04A0" w:firstRow="1" w:lastRow="0" w:firstColumn="1" w:lastColumn="0" w:noHBand="0" w:noVBand="1"/>
      </w:tblPr>
      <w:tblGrid>
        <w:gridCol w:w="2525"/>
        <w:gridCol w:w="1872"/>
        <w:gridCol w:w="1872"/>
        <w:gridCol w:w="1872"/>
        <w:gridCol w:w="720"/>
      </w:tblGrid>
      <w:tr w:rsidR="000F694A" w:rsidRPr="00A92193" w14:paraId="1BFA96DA" w14:textId="77777777" w:rsidTr="000F694A">
        <w:tc>
          <w:tcPr>
            <w:tcW w:w="2525" w:type="dxa"/>
            <w:tcBorders>
              <w:top w:val="single" w:sz="4" w:space="0" w:color="auto"/>
              <w:bottom w:val="single" w:sz="4" w:space="0" w:color="auto"/>
            </w:tcBorders>
          </w:tcPr>
          <w:p w14:paraId="239F311F" w14:textId="77777777" w:rsidR="000F694A" w:rsidRPr="00A92193" w:rsidRDefault="000F694A" w:rsidP="00497A5B">
            <w:pPr>
              <w:rPr>
                <w:rFonts w:ascii="Arial" w:hAnsi="Arial" w:cs="Arial"/>
                <w:sz w:val="20"/>
                <w:szCs w:val="20"/>
              </w:rPr>
            </w:pPr>
          </w:p>
        </w:tc>
        <w:tc>
          <w:tcPr>
            <w:tcW w:w="1872" w:type="dxa"/>
            <w:tcBorders>
              <w:top w:val="single" w:sz="4" w:space="0" w:color="auto"/>
              <w:bottom w:val="single" w:sz="4" w:space="0" w:color="auto"/>
            </w:tcBorders>
          </w:tcPr>
          <w:p w14:paraId="2D2C3313" w14:textId="77777777" w:rsidR="000F694A" w:rsidRPr="00A92193" w:rsidRDefault="000F694A" w:rsidP="00497A5B">
            <w:pPr>
              <w:jc w:val="center"/>
              <w:rPr>
                <w:rFonts w:ascii="Arial" w:hAnsi="Arial" w:cs="Arial"/>
                <w:sz w:val="20"/>
                <w:szCs w:val="20"/>
              </w:rPr>
            </w:pPr>
            <w:r w:rsidRPr="00A92193">
              <w:rPr>
                <w:rFonts w:ascii="Arial" w:hAnsi="Arial" w:cs="Arial"/>
                <w:sz w:val="20"/>
                <w:szCs w:val="20"/>
              </w:rPr>
              <w:t>Overall</w:t>
            </w:r>
          </w:p>
        </w:tc>
        <w:tc>
          <w:tcPr>
            <w:tcW w:w="1872" w:type="dxa"/>
            <w:tcBorders>
              <w:top w:val="single" w:sz="4" w:space="0" w:color="auto"/>
              <w:bottom w:val="single" w:sz="4" w:space="0" w:color="auto"/>
            </w:tcBorders>
          </w:tcPr>
          <w:p w14:paraId="13B03E51" w14:textId="77777777" w:rsidR="000F694A" w:rsidRPr="00A92193" w:rsidRDefault="000F694A" w:rsidP="00497A5B">
            <w:pPr>
              <w:jc w:val="center"/>
              <w:rPr>
                <w:rFonts w:ascii="Arial" w:hAnsi="Arial" w:cs="Arial"/>
                <w:sz w:val="20"/>
                <w:szCs w:val="20"/>
              </w:rPr>
            </w:pPr>
            <w:r>
              <w:rPr>
                <w:rFonts w:ascii="Arial" w:hAnsi="Arial" w:cs="Arial"/>
                <w:sz w:val="20"/>
                <w:szCs w:val="20"/>
              </w:rPr>
              <w:t>Low-Normal K</w:t>
            </w:r>
          </w:p>
          <w:p w14:paraId="6B5357CE" w14:textId="77777777" w:rsidR="000F694A" w:rsidRPr="00A92193" w:rsidRDefault="000F694A" w:rsidP="00497A5B">
            <w:pPr>
              <w:jc w:val="center"/>
              <w:rPr>
                <w:rFonts w:ascii="Arial" w:hAnsi="Arial" w:cs="Arial"/>
                <w:sz w:val="20"/>
                <w:szCs w:val="20"/>
              </w:rPr>
            </w:pPr>
            <w:r w:rsidRPr="00A92193">
              <w:rPr>
                <w:rFonts w:ascii="Arial" w:hAnsi="Arial" w:cs="Arial"/>
                <w:sz w:val="20"/>
                <w:szCs w:val="20"/>
              </w:rPr>
              <w:t>(N= )</w:t>
            </w:r>
          </w:p>
        </w:tc>
        <w:tc>
          <w:tcPr>
            <w:tcW w:w="1872" w:type="dxa"/>
            <w:tcBorders>
              <w:top w:val="single" w:sz="4" w:space="0" w:color="auto"/>
              <w:bottom w:val="single" w:sz="4" w:space="0" w:color="auto"/>
            </w:tcBorders>
          </w:tcPr>
          <w:p w14:paraId="775C6462" w14:textId="77777777" w:rsidR="000F694A" w:rsidRPr="00A92193" w:rsidRDefault="000F694A" w:rsidP="00497A5B">
            <w:pPr>
              <w:jc w:val="center"/>
              <w:rPr>
                <w:rFonts w:ascii="Arial" w:hAnsi="Arial" w:cs="Arial"/>
                <w:sz w:val="20"/>
                <w:szCs w:val="20"/>
              </w:rPr>
            </w:pPr>
            <w:r>
              <w:rPr>
                <w:rFonts w:ascii="Arial" w:hAnsi="Arial" w:cs="Arial"/>
                <w:sz w:val="20"/>
                <w:szCs w:val="20"/>
              </w:rPr>
              <w:t>Normal K</w:t>
            </w:r>
          </w:p>
          <w:p w14:paraId="2E83E8D5" w14:textId="77777777" w:rsidR="000F694A" w:rsidRPr="00A92193" w:rsidRDefault="000F694A" w:rsidP="00497A5B">
            <w:pPr>
              <w:jc w:val="center"/>
              <w:rPr>
                <w:rFonts w:ascii="Arial" w:hAnsi="Arial" w:cs="Arial"/>
                <w:sz w:val="20"/>
                <w:szCs w:val="20"/>
              </w:rPr>
            </w:pPr>
            <w:r w:rsidRPr="00A92193">
              <w:rPr>
                <w:rFonts w:ascii="Arial" w:hAnsi="Arial" w:cs="Arial"/>
                <w:sz w:val="20"/>
                <w:szCs w:val="20"/>
              </w:rPr>
              <w:t>(N= )</w:t>
            </w:r>
          </w:p>
        </w:tc>
        <w:tc>
          <w:tcPr>
            <w:tcW w:w="720" w:type="dxa"/>
            <w:tcBorders>
              <w:top w:val="single" w:sz="4" w:space="0" w:color="auto"/>
              <w:bottom w:val="single" w:sz="4" w:space="0" w:color="auto"/>
            </w:tcBorders>
          </w:tcPr>
          <w:p w14:paraId="1587F625" w14:textId="77777777" w:rsidR="000F694A" w:rsidRPr="00A92193" w:rsidRDefault="000F694A" w:rsidP="00497A5B">
            <w:pPr>
              <w:jc w:val="right"/>
              <w:rPr>
                <w:rFonts w:ascii="Arial" w:hAnsi="Arial" w:cs="Arial"/>
                <w:sz w:val="20"/>
                <w:szCs w:val="20"/>
              </w:rPr>
            </w:pPr>
            <w:r w:rsidRPr="00A92193">
              <w:rPr>
                <w:rFonts w:ascii="Arial" w:hAnsi="Arial" w:cs="Arial"/>
                <w:sz w:val="20"/>
                <w:szCs w:val="20"/>
              </w:rPr>
              <w:t>P</w:t>
            </w:r>
          </w:p>
        </w:tc>
      </w:tr>
      <w:tr w:rsidR="000F694A" w:rsidRPr="00A92193" w14:paraId="5F573E6C" w14:textId="77777777" w:rsidTr="000F694A">
        <w:tc>
          <w:tcPr>
            <w:tcW w:w="2525" w:type="dxa"/>
            <w:tcBorders>
              <w:top w:val="single" w:sz="4" w:space="0" w:color="auto"/>
              <w:bottom w:val="single" w:sz="4" w:space="0" w:color="auto"/>
            </w:tcBorders>
          </w:tcPr>
          <w:p w14:paraId="7779DF84" w14:textId="77777777" w:rsidR="000F694A" w:rsidRPr="00A92193" w:rsidRDefault="000F694A" w:rsidP="00497A5B">
            <w:pPr>
              <w:rPr>
                <w:rFonts w:ascii="Arial" w:hAnsi="Arial" w:cs="Arial"/>
                <w:sz w:val="20"/>
                <w:szCs w:val="20"/>
              </w:rPr>
            </w:pPr>
            <w:r w:rsidRPr="00A92193">
              <w:rPr>
                <w:rFonts w:ascii="Arial" w:hAnsi="Arial" w:cs="Arial"/>
                <w:sz w:val="20"/>
                <w:szCs w:val="20"/>
              </w:rPr>
              <w:t>Age (years)</w:t>
            </w:r>
          </w:p>
        </w:tc>
        <w:tc>
          <w:tcPr>
            <w:tcW w:w="1872" w:type="dxa"/>
            <w:tcBorders>
              <w:top w:val="single" w:sz="4" w:space="0" w:color="auto"/>
              <w:bottom w:val="single" w:sz="4" w:space="0" w:color="auto"/>
            </w:tcBorders>
          </w:tcPr>
          <w:p w14:paraId="1980BF3F" w14:textId="77777777" w:rsidR="000F694A" w:rsidRPr="00A92193" w:rsidRDefault="000F694A" w:rsidP="00497A5B">
            <w:pPr>
              <w:jc w:val="center"/>
              <w:rPr>
                <w:rFonts w:ascii="Arial" w:hAnsi="Arial" w:cs="Arial"/>
                <w:sz w:val="20"/>
                <w:szCs w:val="20"/>
              </w:rPr>
            </w:pPr>
            <w:r>
              <w:rPr>
                <w:rFonts w:ascii="Arial" w:hAnsi="Arial" w:cs="Arial"/>
                <w:sz w:val="20"/>
                <w:szCs w:val="20"/>
              </w:rPr>
              <w:t>l</w:t>
            </w:r>
            <w:r w:rsidRPr="00A92193">
              <w:rPr>
                <w:rFonts w:ascii="Arial" w:hAnsi="Arial" w:cs="Arial"/>
                <w:sz w:val="20"/>
                <w:szCs w:val="20"/>
              </w:rPr>
              <w:t>ocation</w:t>
            </w:r>
            <w:r>
              <w:rPr>
                <w:rFonts w:ascii="Arial" w:hAnsi="Arial" w:cs="Arial"/>
                <w:sz w:val="20"/>
                <w:szCs w:val="20"/>
              </w:rPr>
              <w:t xml:space="preserve"> (s</w:t>
            </w:r>
            <w:r w:rsidRPr="00A92193">
              <w:rPr>
                <w:rFonts w:ascii="Arial" w:hAnsi="Arial" w:cs="Arial"/>
                <w:sz w:val="20"/>
                <w:szCs w:val="20"/>
              </w:rPr>
              <w:t>pread)</w:t>
            </w:r>
          </w:p>
        </w:tc>
        <w:tc>
          <w:tcPr>
            <w:tcW w:w="1872" w:type="dxa"/>
            <w:tcBorders>
              <w:top w:val="single" w:sz="4" w:space="0" w:color="auto"/>
              <w:bottom w:val="single" w:sz="4" w:space="0" w:color="auto"/>
            </w:tcBorders>
          </w:tcPr>
          <w:p w14:paraId="7B3583C3" w14:textId="77777777" w:rsidR="000F694A" w:rsidRPr="00A92193" w:rsidRDefault="000F694A" w:rsidP="00497A5B">
            <w:pPr>
              <w:jc w:val="center"/>
              <w:rPr>
                <w:rFonts w:ascii="Arial" w:hAnsi="Arial" w:cs="Arial"/>
                <w:sz w:val="20"/>
                <w:szCs w:val="20"/>
              </w:rPr>
            </w:pPr>
            <w:r>
              <w:rPr>
                <w:rFonts w:ascii="Arial" w:hAnsi="Arial" w:cs="Arial"/>
                <w:sz w:val="20"/>
                <w:szCs w:val="20"/>
              </w:rPr>
              <w:t>l</w:t>
            </w:r>
            <w:r w:rsidRPr="00A92193">
              <w:rPr>
                <w:rFonts w:ascii="Arial" w:hAnsi="Arial" w:cs="Arial"/>
                <w:sz w:val="20"/>
                <w:szCs w:val="20"/>
              </w:rPr>
              <w:t>ocation</w:t>
            </w:r>
            <w:r>
              <w:rPr>
                <w:rFonts w:ascii="Arial" w:hAnsi="Arial" w:cs="Arial"/>
                <w:sz w:val="20"/>
                <w:szCs w:val="20"/>
              </w:rPr>
              <w:t xml:space="preserve"> (s</w:t>
            </w:r>
            <w:r w:rsidRPr="00A92193">
              <w:rPr>
                <w:rFonts w:ascii="Arial" w:hAnsi="Arial" w:cs="Arial"/>
                <w:sz w:val="20"/>
                <w:szCs w:val="20"/>
              </w:rPr>
              <w:t>pread)</w:t>
            </w:r>
          </w:p>
        </w:tc>
        <w:tc>
          <w:tcPr>
            <w:tcW w:w="1872" w:type="dxa"/>
            <w:tcBorders>
              <w:top w:val="single" w:sz="4" w:space="0" w:color="auto"/>
              <w:bottom w:val="single" w:sz="4" w:space="0" w:color="auto"/>
            </w:tcBorders>
          </w:tcPr>
          <w:p w14:paraId="4F0CD2AA" w14:textId="77777777" w:rsidR="000F694A" w:rsidRPr="00A92193" w:rsidRDefault="000F694A" w:rsidP="00497A5B">
            <w:pPr>
              <w:jc w:val="center"/>
              <w:rPr>
                <w:rFonts w:ascii="Arial" w:hAnsi="Arial" w:cs="Arial"/>
                <w:sz w:val="20"/>
                <w:szCs w:val="20"/>
              </w:rPr>
            </w:pPr>
            <w:r>
              <w:rPr>
                <w:rFonts w:ascii="Arial" w:hAnsi="Arial" w:cs="Arial"/>
                <w:sz w:val="20"/>
                <w:szCs w:val="20"/>
              </w:rPr>
              <w:t>l</w:t>
            </w:r>
            <w:r w:rsidRPr="00A92193">
              <w:rPr>
                <w:rFonts w:ascii="Arial" w:hAnsi="Arial" w:cs="Arial"/>
                <w:sz w:val="20"/>
                <w:szCs w:val="20"/>
              </w:rPr>
              <w:t>ocation</w:t>
            </w:r>
            <w:r>
              <w:rPr>
                <w:rFonts w:ascii="Arial" w:hAnsi="Arial" w:cs="Arial"/>
                <w:sz w:val="20"/>
                <w:szCs w:val="20"/>
              </w:rPr>
              <w:t xml:space="preserve"> (s</w:t>
            </w:r>
            <w:r w:rsidRPr="00A92193">
              <w:rPr>
                <w:rFonts w:ascii="Arial" w:hAnsi="Arial" w:cs="Arial"/>
                <w:sz w:val="20"/>
                <w:szCs w:val="20"/>
              </w:rPr>
              <w:t>pread)</w:t>
            </w:r>
          </w:p>
        </w:tc>
        <w:tc>
          <w:tcPr>
            <w:tcW w:w="720" w:type="dxa"/>
            <w:tcBorders>
              <w:top w:val="single" w:sz="4" w:space="0" w:color="auto"/>
              <w:bottom w:val="single" w:sz="4" w:space="0" w:color="auto"/>
            </w:tcBorders>
          </w:tcPr>
          <w:p w14:paraId="39FAA34B" w14:textId="77777777" w:rsidR="000F694A" w:rsidRPr="00A92193" w:rsidRDefault="000F694A" w:rsidP="00497A5B">
            <w:pPr>
              <w:jc w:val="right"/>
              <w:rPr>
                <w:rFonts w:ascii="Arial" w:hAnsi="Arial" w:cs="Arial"/>
                <w:sz w:val="20"/>
                <w:szCs w:val="20"/>
              </w:rPr>
            </w:pPr>
            <w:r w:rsidRPr="00A92193">
              <w:rPr>
                <w:rFonts w:ascii="Arial" w:hAnsi="Arial" w:cs="Arial"/>
                <w:sz w:val="20"/>
                <w:szCs w:val="20"/>
              </w:rPr>
              <w:t>XX</w:t>
            </w:r>
          </w:p>
        </w:tc>
      </w:tr>
      <w:tr w:rsidR="000F694A" w:rsidRPr="00A92193" w14:paraId="0848A81E" w14:textId="77777777" w:rsidTr="000F694A">
        <w:tc>
          <w:tcPr>
            <w:tcW w:w="2525" w:type="dxa"/>
            <w:tcBorders>
              <w:top w:val="single" w:sz="4" w:space="0" w:color="auto"/>
              <w:bottom w:val="nil"/>
            </w:tcBorders>
          </w:tcPr>
          <w:p w14:paraId="3102AEB2" w14:textId="77777777" w:rsidR="000F694A" w:rsidRPr="00A92193" w:rsidRDefault="000F694A" w:rsidP="00497A5B">
            <w:pPr>
              <w:rPr>
                <w:rFonts w:ascii="Arial" w:hAnsi="Arial" w:cs="Arial"/>
                <w:sz w:val="20"/>
                <w:szCs w:val="20"/>
              </w:rPr>
            </w:pPr>
            <w:r w:rsidRPr="00A92193">
              <w:rPr>
                <w:rFonts w:ascii="Arial" w:hAnsi="Arial" w:cs="Arial"/>
                <w:sz w:val="20"/>
                <w:szCs w:val="20"/>
              </w:rPr>
              <w:t>Sex</w:t>
            </w:r>
          </w:p>
        </w:tc>
        <w:tc>
          <w:tcPr>
            <w:tcW w:w="1872" w:type="dxa"/>
            <w:tcBorders>
              <w:top w:val="single" w:sz="4" w:space="0" w:color="auto"/>
              <w:bottom w:val="nil"/>
            </w:tcBorders>
          </w:tcPr>
          <w:p w14:paraId="4EF4A700" w14:textId="77777777" w:rsidR="000F694A" w:rsidRPr="00A92193" w:rsidRDefault="000F694A" w:rsidP="00497A5B">
            <w:pPr>
              <w:jc w:val="center"/>
              <w:rPr>
                <w:rFonts w:ascii="Arial" w:hAnsi="Arial" w:cs="Arial"/>
                <w:sz w:val="20"/>
                <w:szCs w:val="20"/>
              </w:rPr>
            </w:pPr>
          </w:p>
        </w:tc>
        <w:tc>
          <w:tcPr>
            <w:tcW w:w="1872" w:type="dxa"/>
            <w:tcBorders>
              <w:top w:val="single" w:sz="4" w:space="0" w:color="auto"/>
              <w:bottom w:val="nil"/>
            </w:tcBorders>
          </w:tcPr>
          <w:p w14:paraId="1AB777A7" w14:textId="77777777" w:rsidR="000F694A" w:rsidRPr="00A92193" w:rsidRDefault="000F694A" w:rsidP="00497A5B">
            <w:pPr>
              <w:jc w:val="center"/>
              <w:rPr>
                <w:rFonts w:ascii="Arial" w:hAnsi="Arial" w:cs="Arial"/>
                <w:sz w:val="20"/>
                <w:szCs w:val="20"/>
              </w:rPr>
            </w:pPr>
          </w:p>
        </w:tc>
        <w:tc>
          <w:tcPr>
            <w:tcW w:w="1872" w:type="dxa"/>
            <w:tcBorders>
              <w:top w:val="single" w:sz="4" w:space="0" w:color="auto"/>
              <w:bottom w:val="nil"/>
            </w:tcBorders>
          </w:tcPr>
          <w:p w14:paraId="0B76148B" w14:textId="77777777" w:rsidR="000F694A" w:rsidRPr="00A92193" w:rsidRDefault="000F694A" w:rsidP="00497A5B">
            <w:pPr>
              <w:jc w:val="center"/>
              <w:rPr>
                <w:rFonts w:ascii="Arial" w:hAnsi="Arial" w:cs="Arial"/>
                <w:sz w:val="20"/>
                <w:szCs w:val="20"/>
              </w:rPr>
            </w:pPr>
          </w:p>
        </w:tc>
        <w:tc>
          <w:tcPr>
            <w:tcW w:w="720" w:type="dxa"/>
            <w:tcBorders>
              <w:top w:val="single" w:sz="4" w:space="0" w:color="auto"/>
              <w:bottom w:val="nil"/>
            </w:tcBorders>
          </w:tcPr>
          <w:p w14:paraId="4BFEC7ED" w14:textId="77777777" w:rsidR="000F694A" w:rsidRPr="00A92193" w:rsidRDefault="000F694A" w:rsidP="00497A5B">
            <w:pPr>
              <w:jc w:val="right"/>
              <w:rPr>
                <w:rFonts w:ascii="Arial" w:hAnsi="Arial" w:cs="Arial"/>
                <w:sz w:val="20"/>
                <w:szCs w:val="20"/>
              </w:rPr>
            </w:pPr>
            <w:r w:rsidRPr="00A92193">
              <w:rPr>
                <w:rFonts w:ascii="Arial" w:hAnsi="Arial" w:cs="Arial"/>
                <w:sz w:val="20"/>
                <w:szCs w:val="20"/>
              </w:rPr>
              <w:t>XX</w:t>
            </w:r>
          </w:p>
        </w:tc>
      </w:tr>
      <w:tr w:rsidR="000F694A" w:rsidRPr="00A92193" w14:paraId="2D40AFE0" w14:textId="77777777" w:rsidTr="000F694A">
        <w:tc>
          <w:tcPr>
            <w:tcW w:w="2525" w:type="dxa"/>
            <w:tcBorders>
              <w:top w:val="nil"/>
              <w:bottom w:val="nil"/>
            </w:tcBorders>
          </w:tcPr>
          <w:p w14:paraId="66663248" w14:textId="77777777" w:rsidR="000F694A" w:rsidRPr="00A92193" w:rsidRDefault="000F694A" w:rsidP="00497A5B">
            <w:pPr>
              <w:rPr>
                <w:rFonts w:ascii="Arial" w:hAnsi="Arial" w:cs="Arial"/>
                <w:sz w:val="20"/>
                <w:szCs w:val="20"/>
              </w:rPr>
            </w:pPr>
            <w:r w:rsidRPr="00A92193">
              <w:rPr>
                <w:rFonts w:ascii="Arial" w:hAnsi="Arial" w:cs="Arial"/>
                <w:sz w:val="20"/>
                <w:szCs w:val="20"/>
              </w:rPr>
              <w:t xml:space="preserve">    Female</w:t>
            </w:r>
          </w:p>
        </w:tc>
        <w:tc>
          <w:tcPr>
            <w:tcW w:w="1872" w:type="dxa"/>
            <w:tcBorders>
              <w:top w:val="nil"/>
              <w:bottom w:val="nil"/>
            </w:tcBorders>
          </w:tcPr>
          <w:p w14:paraId="79A3D483" w14:textId="77777777" w:rsidR="000F694A" w:rsidRPr="00A92193" w:rsidRDefault="000F694A" w:rsidP="00497A5B">
            <w:pPr>
              <w:jc w:val="center"/>
              <w:rPr>
                <w:rFonts w:ascii="Arial" w:hAnsi="Arial" w:cs="Arial"/>
                <w:sz w:val="20"/>
                <w:szCs w:val="20"/>
              </w:rPr>
            </w:pPr>
            <w:r w:rsidRPr="00755607">
              <w:rPr>
                <w:rFonts w:ascii="Arial" w:hAnsi="Arial" w:cs="Arial"/>
                <w:sz w:val="20"/>
                <w:szCs w:val="20"/>
              </w:rPr>
              <w:t>n (%)</w:t>
            </w:r>
          </w:p>
        </w:tc>
        <w:tc>
          <w:tcPr>
            <w:tcW w:w="1872" w:type="dxa"/>
            <w:tcBorders>
              <w:top w:val="nil"/>
              <w:bottom w:val="nil"/>
            </w:tcBorders>
          </w:tcPr>
          <w:p w14:paraId="1D1C960F" w14:textId="77777777" w:rsidR="000F694A" w:rsidRPr="00A92193" w:rsidRDefault="000F694A" w:rsidP="00497A5B">
            <w:pPr>
              <w:jc w:val="center"/>
              <w:rPr>
                <w:rFonts w:ascii="Arial" w:hAnsi="Arial" w:cs="Arial"/>
                <w:sz w:val="20"/>
                <w:szCs w:val="20"/>
              </w:rPr>
            </w:pPr>
            <w:r w:rsidRPr="00755607">
              <w:rPr>
                <w:rFonts w:ascii="Arial" w:hAnsi="Arial" w:cs="Arial"/>
                <w:sz w:val="20"/>
                <w:szCs w:val="20"/>
              </w:rPr>
              <w:t>n (%)</w:t>
            </w:r>
          </w:p>
        </w:tc>
        <w:tc>
          <w:tcPr>
            <w:tcW w:w="1872" w:type="dxa"/>
            <w:tcBorders>
              <w:top w:val="nil"/>
              <w:bottom w:val="nil"/>
            </w:tcBorders>
          </w:tcPr>
          <w:p w14:paraId="6CB589A6" w14:textId="77777777" w:rsidR="000F694A" w:rsidRPr="00A92193" w:rsidRDefault="000F694A" w:rsidP="00497A5B">
            <w:pPr>
              <w:jc w:val="center"/>
              <w:rPr>
                <w:rFonts w:ascii="Arial" w:hAnsi="Arial" w:cs="Arial"/>
                <w:sz w:val="20"/>
                <w:szCs w:val="20"/>
              </w:rPr>
            </w:pPr>
            <w:r w:rsidRPr="00755607">
              <w:rPr>
                <w:rFonts w:ascii="Arial" w:hAnsi="Arial" w:cs="Arial"/>
                <w:sz w:val="20"/>
                <w:szCs w:val="20"/>
              </w:rPr>
              <w:t>n (%)</w:t>
            </w:r>
          </w:p>
        </w:tc>
        <w:tc>
          <w:tcPr>
            <w:tcW w:w="720" w:type="dxa"/>
            <w:tcBorders>
              <w:top w:val="nil"/>
              <w:bottom w:val="nil"/>
            </w:tcBorders>
          </w:tcPr>
          <w:p w14:paraId="0B6E9B18" w14:textId="77777777" w:rsidR="000F694A" w:rsidRPr="00A92193" w:rsidRDefault="000F694A" w:rsidP="00497A5B">
            <w:pPr>
              <w:jc w:val="right"/>
              <w:rPr>
                <w:rFonts w:ascii="Arial" w:hAnsi="Arial" w:cs="Arial"/>
                <w:sz w:val="20"/>
                <w:szCs w:val="20"/>
              </w:rPr>
            </w:pPr>
          </w:p>
        </w:tc>
      </w:tr>
      <w:tr w:rsidR="000F694A" w:rsidRPr="00A92193" w14:paraId="409411C3" w14:textId="77777777" w:rsidTr="000F694A">
        <w:tc>
          <w:tcPr>
            <w:tcW w:w="2525" w:type="dxa"/>
            <w:tcBorders>
              <w:top w:val="nil"/>
              <w:bottom w:val="single" w:sz="4" w:space="0" w:color="auto"/>
            </w:tcBorders>
          </w:tcPr>
          <w:p w14:paraId="25A7FB25" w14:textId="77777777" w:rsidR="000F694A" w:rsidRPr="00A92193" w:rsidRDefault="000F694A" w:rsidP="00497A5B">
            <w:pPr>
              <w:rPr>
                <w:rFonts w:ascii="Arial" w:hAnsi="Arial" w:cs="Arial"/>
                <w:sz w:val="20"/>
                <w:szCs w:val="20"/>
              </w:rPr>
            </w:pPr>
            <w:r w:rsidRPr="00A92193">
              <w:rPr>
                <w:rFonts w:ascii="Arial" w:hAnsi="Arial" w:cs="Arial"/>
                <w:sz w:val="20"/>
                <w:szCs w:val="20"/>
              </w:rPr>
              <w:t xml:space="preserve">    Male</w:t>
            </w:r>
          </w:p>
        </w:tc>
        <w:tc>
          <w:tcPr>
            <w:tcW w:w="1872" w:type="dxa"/>
            <w:tcBorders>
              <w:top w:val="nil"/>
              <w:bottom w:val="single" w:sz="4" w:space="0" w:color="auto"/>
            </w:tcBorders>
          </w:tcPr>
          <w:p w14:paraId="385A7AF5" w14:textId="77777777" w:rsidR="000F694A" w:rsidRPr="00A92193" w:rsidRDefault="000F694A" w:rsidP="00497A5B">
            <w:pPr>
              <w:jc w:val="center"/>
              <w:rPr>
                <w:rFonts w:ascii="Arial" w:hAnsi="Arial" w:cs="Arial"/>
                <w:sz w:val="20"/>
                <w:szCs w:val="20"/>
              </w:rPr>
            </w:pPr>
            <w:r w:rsidRPr="00755607">
              <w:rPr>
                <w:rFonts w:ascii="Arial" w:hAnsi="Arial" w:cs="Arial"/>
                <w:sz w:val="20"/>
                <w:szCs w:val="20"/>
              </w:rPr>
              <w:t>n (%)</w:t>
            </w:r>
          </w:p>
        </w:tc>
        <w:tc>
          <w:tcPr>
            <w:tcW w:w="1872" w:type="dxa"/>
            <w:tcBorders>
              <w:top w:val="nil"/>
              <w:bottom w:val="single" w:sz="4" w:space="0" w:color="auto"/>
            </w:tcBorders>
          </w:tcPr>
          <w:p w14:paraId="022BCB8B" w14:textId="77777777" w:rsidR="000F694A" w:rsidRPr="00A92193" w:rsidRDefault="000F694A" w:rsidP="00497A5B">
            <w:pPr>
              <w:jc w:val="center"/>
              <w:rPr>
                <w:rFonts w:ascii="Arial" w:hAnsi="Arial" w:cs="Arial"/>
                <w:sz w:val="20"/>
                <w:szCs w:val="20"/>
              </w:rPr>
            </w:pPr>
            <w:r w:rsidRPr="00755607">
              <w:rPr>
                <w:rFonts w:ascii="Arial" w:hAnsi="Arial" w:cs="Arial"/>
                <w:sz w:val="20"/>
                <w:szCs w:val="20"/>
              </w:rPr>
              <w:t>n (%)</w:t>
            </w:r>
          </w:p>
        </w:tc>
        <w:tc>
          <w:tcPr>
            <w:tcW w:w="1872" w:type="dxa"/>
            <w:tcBorders>
              <w:top w:val="nil"/>
              <w:bottom w:val="single" w:sz="4" w:space="0" w:color="auto"/>
            </w:tcBorders>
          </w:tcPr>
          <w:p w14:paraId="652C525C" w14:textId="77777777" w:rsidR="000F694A" w:rsidRPr="00A92193" w:rsidRDefault="000F694A" w:rsidP="00497A5B">
            <w:pPr>
              <w:jc w:val="center"/>
              <w:rPr>
                <w:rFonts w:ascii="Arial" w:hAnsi="Arial" w:cs="Arial"/>
                <w:sz w:val="20"/>
                <w:szCs w:val="20"/>
              </w:rPr>
            </w:pPr>
            <w:r w:rsidRPr="00755607">
              <w:rPr>
                <w:rFonts w:ascii="Arial" w:hAnsi="Arial" w:cs="Arial"/>
                <w:sz w:val="20"/>
                <w:szCs w:val="20"/>
              </w:rPr>
              <w:t>n (%)</w:t>
            </w:r>
          </w:p>
        </w:tc>
        <w:tc>
          <w:tcPr>
            <w:tcW w:w="720" w:type="dxa"/>
            <w:tcBorders>
              <w:top w:val="nil"/>
              <w:bottom w:val="single" w:sz="4" w:space="0" w:color="auto"/>
            </w:tcBorders>
          </w:tcPr>
          <w:p w14:paraId="70607C79" w14:textId="77777777" w:rsidR="000F694A" w:rsidRPr="00A92193" w:rsidRDefault="000F694A" w:rsidP="00497A5B">
            <w:pPr>
              <w:jc w:val="right"/>
              <w:rPr>
                <w:rFonts w:ascii="Arial" w:hAnsi="Arial" w:cs="Arial"/>
                <w:sz w:val="20"/>
                <w:szCs w:val="20"/>
              </w:rPr>
            </w:pPr>
          </w:p>
        </w:tc>
      </w:tr>
      <w:tr w:rsidR="000F694A" w:rsidRPr="00A92193" w14:paraId="3DAAA979" w14:textId="77777777" w:rsidTr="000F694A">
        <w:tc>
          <w:tcPr>
            <w:tcW w:w="2525" w:type="dxa"/>
            <w:tcBorders>
              <w:top w:val="single" w:sz="4" w:space="0" w:color="auto"/>
              <w:bottom w:val="nil"/>
            </w:tcBorders>
          </w:tcPr>
          <w:p w14:paraId="0B7A3D96" w14:textId="77777777" w:rsidR="000F694A" w:rsidRPr="00A92193" w:rsidRDefault="000F694A" w:rsidP="00497A5B">
            <w:pPr>
              <w:rPr>
                <w:rFonts w:ascii="Arial" w:hAnsi="Arial" w:cs="Arial"/>
                <w:sz w:val="20"/>
                <w:szCs w:val="20"/>
              </w:rPr>
            </w:pPr>
            <w:r w:rsidRPr="00A92193">
              <w:rPr>
                <w:rFonts w:ascii="Arial" w:hAnsi="Arial" w:cs="Arial"/>
                <w:sz w:val="20"/>
                <w:szCs w:val="20"/>
              </w:rPr>
              <w:t>Income</w:t>
            </w:r>
          </w:p>
        </w:tc>
        <w:tc>
          <w:tcPr>
            <w:tcW w:w="1872" w:type="dxa"/>
            <w:tcBorders>
              <w:top w:val="single" w:sz="4" w:space="0" w:color="auto"/>
              <w:bottom w:val="nil"/>
            </w:tcBorders>
          </w:tcPr>
          <w:p w14:paraId="6B994B80" w14:textId="77777777" w:rsidR="000F694A" w:rsidRPr="00A92193" w:rsidRDefault="000F694A" w:rsidP="00497A5B">
            <w:pPr>
              <w:jc w:val="center"/>
              <w:rPr>
                <w:rFonts w:ascii="Arial" w:hAnsi="Arial" w:cs="Arial"/>
                <w:sz w:val="20"/>
                <w:szCs w:val="20"/>
              </w:rPr>
            </w:pPr>
          </w:p>
        </w:tc>
        <w:tc>
          <w:tcPr>
            <w:tcW w:w="1872" w:type="dxa"/>
            <w:tcBorders>
              <w:top w:val="single" w:sz="4" w:space="0" w:color="auto"/>
              <w:bottom w:val="nil"/>
            </w:tcBorders>
          </w:tcPr>
          <w:p w14:paraId="72F26D8D" w14:textId="77777777" w:rsidR="000F694A" w:rsidRPr="00A92193" w:rsidRDefault="000F694A" w:rsidP="00497A5B">
            <w:pPr>
              <w:jc w:val="center"/>
              <w:rPr>
                <w:rFonts w:ascii="Arial" w:hAnsi="Arial" w:cs="Arial"/>
                <w:sz w:val="20"/>
                <w:szCs w:val="20"/>
              </w:rPr>
            </w:pPr>
          </w:p>
        </w:tc>
        <w:tc>
          <w:tcPr>
            <w:tcW w:w="1872" w:type="dxa"/>
            <w:tcBorders>
              <w:top w:val="single" w:sz="4" w:space="0" w:color="auto"/>
              <w:bottom w:val="nil"/>
            </w:tcBorders>
          </w:tcPr>
          <w:p w14:paraId="5961A465" w14:textId="77777777" w:rsidR="000F694A" w:rsidRPr="00A92193" w:rsidRDefault="000F694A" w:rsidP="00497A5B">
            <w:pPr>
              <w:jc w:val="center"/>
              <w:rPr>
                <w:rFonts w:ascii="Arial" w:hAnsi="Arial" w:cs="Arial"/>
                <w:sz w:val="20"/>
                <w:szCs w:val="20"/>
              </w:rPr>
            </w:pPr>
          </w:p>
        </w:tc>
        <w:tc>
          <w:tcPr>
            <w:tcW w:w="720" w:type="dxa"/>
            <w:tcBorders>
              <w:top w:val="single" w:sz="4" w:space="0" w:color="auto"/>
              <w:bottom w:val="nil"/>
            </w:tcBorders>
          </w:tcPr>
          <w:p w14:paraId="11EC9F5F" w14:textId="77777777" w:rsidR="000F694A" w:rsidRPr="00A92193" w:rsidRDefault="000F694A" w:rsidP="00497A5B">
            <w:pPr>
              <w:jc w:val="right"/>
              <w:rPr>
                <w:rFonts w:ascii="Arial" w:hAnsi="Arial" w:cs="Arial"/>
                <w:sz w:val="20"/>
                <w:szCs w:val="20"/>
              </w:rPr>
            </w:pPr>
            <w:r w:rsidRPr="00A92193">
              <w:rPr>
                <w:rFonts w:ascii="Arial" w:hAnsi="Arial" w:cs="Arial"/>
                <w:sz w:val="20"/>
                <w:szCs w:val="20"/>
              </w:rPr>
              <w:t>XX</w:t>
            </w:r>
          </w:p>
        </w:tc>
      </w:tr>
      <w:tr w:rsidR="000F694A" w:rsidRPr="00A92193" w14:paraId="6D11BF69" w14:textId="77777777" w:rsidTr="000F694A">
        <w:tc>
          <w:tcPr>
            <w:tcW w:w="2525" w:type="dxa"/>
            <w:tcBorders>
              <w:top w:val="nil"/>
              <w:bottom w:val="nil"/>
            </w:tcBorders>
          </w:tcPr>
          <w:p w14:paraId="57345601" w14:textId="77777777" w:rsidR="000F694A" w:rsidRPr="00A92193" w:rsidRDefault="000F694A" w:rsidP="00497A5B">
            <w:pPr>
              <w:rPr>
                <w:rFonts w:ascii="Arial" w:hAnsi="Arial" w:cs="Arial"/>
                <w:sz w:val="20"/>
                <w:szCs w:val="20"/>
              </w:rPr>
            </w:pPr>
            <w:r w:rsidRPr="00A92193">
              <w:rPr>
                <w:rFonts w:ascii="Arial" w:hAnsi="Arial" w:cs="Arial"/>
                <w:sz w:val="20"/>
                <w:szCs w:val="20"/>
              </w:rPr>
              <w:t xml:space="preserve">    </w:t>
            </w:r>
            <w:r>
              <w:rPr>
                <w:rFonts w:ascii="Arial" w:hAnsi="Arial" w:cs="Arial"/>
                <w:sz w:val="20"/>
                <w:szCs w:val="20"/>
              </w:rPr>
              <w:t>Under $20,000</w:t>
            </w:r>
          </w:p>
        </w:tc>
        <w:tc>
          <w:tcPr>
            <w:tcW w:w="1872" w:type="dxa"/>
            <w:tcBorders>
              <w:top w:val="nil"/>
              <w:bottom w:val="nil"/>
            </w:tcBorders>
          </w:tcPr>
          <w:p w14:paraId="0DD45668"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nil"/>
            </w:tcBorders>
          </w:tcPr>
          <w:p w14:paraId="260398CB"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nil"/>
            </w:tcBorders>
          </w:tcPr>
          <w:p w14:paraId="73096262"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720" w:type="dxa"/>
            <w:tcBorders>
              <w:top w:val="nil"/>
              <w:bottom w:val="nil"/>
            </w:tcBorders>
          </w:tcPr>
          <w:p w14:paraId="4A10441C" w14:textId="77777777" w:rsidR="000F694A" w:rsidRPr="00A92193" w:rsidRDefault="000F694A" w:rsidP="00497A5B">
            <w:pPr>
              <w:jc w:val="right"/>
              <w:rPr>
                <w:rFonts w:ascii="Arial" w:hAnsi="Arial" w:cs="Arial"/>
                <w:sz w:val="20"/>
                <w:szCs w:val="20"/>
              </w:rPr>
            </w:pPr>
          </w:p>
        </w:tc>
      </w:tr>
      <w:tr w:rsidR="000F694A" w:rsidRPr="00A92193" w14:paraId="7548B9D2" w14:textId="77777777" w:rsidTr="000F694A">
        <w:tc>
          <w:tcPr>
            <w:tcW w:w="2525" w:type="dxa"/>
            <w:tcBorders>
              <w:top w:val="nil"/>
              <w:bottom w:val="nil"/>
            </w:tcBorders>
          </w:tcPr>
          <w:p w14:paraId="5CE905CB" w14:textId="77777777" w:rsidR="000F694A" w:rsidRPr="00A92193" w:rsidRDefault="000F694A" w:rsidP="00497A5B">
            <w:pPr>
              <w:rPr>
                <w:rFonts w:ascii="Arial" w:hAnsi="Arial" w:cs="Arial"/>
                <w:sz w:val="20"/>
                <w:szCs w:val="20"/>
              </w:rPr>
            </w:pPr>
            <w:r w:rsidRPr="00A92193">
              <w:rPr>
                <w:rFonts w:ascii="Arial" w:hAnsi="Arial" w:cs="Arial"/>
                <w:sz w:val="20"/>
                <w:szCs w:val="20"/>
              </w:rPr>
              <w:t xml:space="preserve">    </w:t>
            </w:r>
            <w:r>
              <w:rPr>
                <w:rFonts w:ascii="Arial" w:hAnsi="Arial" w:cs="Arial"/>
                <w:sz w:val="20"/>
                <w:szCs w:val="20"/>
              </w:rPr>
              <w:t>$20,000 to &lt;$45,000</w:t>
            </w:r>
          </w:p>
        </w:tc>
        <w:tc>
          <w:tcPr>
            <w:tcW w:w="1872" w:type="dxa"/>
            <w:tcBorders>
              <w:top w:val="nil"/>
              <w:bottom w:val="nil"/>
            </w:tcBorders>
          </w:tcPr>
          <w:p w14:paraId="72903740"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nil"/>
            </w:tcBorders>
          </w:tcPr>
          <w:p w14:paraId="21A491C8"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nil"/>
            </w:tcBorders>
          </w:tcPr>
          <w:p w14:paraId="41795F20"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720" w:type="dxa"/>
            <w:tcBorders>
              <w:top w:val="nil"/>
              <w:bottom w:val="nil"/>
            </w:tcBorders>
          </w:tcPr>
          <w:p w14:paraId="684334AD" w14:textId="77777777" w:rsidR="000F694A" w:rsidRPr="00A92193" w:rsidRDefault="000F694A" w:rsidP="00497A5B">
            <w:pPr>
              <w:jc w:val="right"/>
              <w:rPr>
                <w:rFonts w:ascii="Arial" w:hAnsi="Arial" w:cs="Arial"/>
                <w:sz w:val="20"/>
                <w:szCs w:val="20"/>
              </w:rPr>
            </w:pPr>
          </w:p>
        </w:tc>
      </w:tr>
      <w:tr w:rsidR="000F694A" w:rsidRPr="00A92193" w14:paraId="74DB4F10" w14:textId="77777777" w:rsidTr="000F694A">
        <w:tc>
          <w:tcPr>
            <w:tcW w:w="2525" w:type="dxa"/>
            <w:tcBorders>
              <w:top w:val="nil"/>
              <w:bottom w:val="nil"/>
            </w:tcBorders>
          </w:tcPr>
          <w:p w14:paraId="020D997D" w14:textId="77777777" w:rsidR="000F694A" w:rsidRPr="00A92193" w:rsidRDefault="000F694A" w:rsidP="00497A5B">
            <w:pPr>
              <w:rPr>
                <w:rFonts w:ascii="Arial" w:hAnsi="Arial" w:cs="Arial"/>
                <w:sz w:val="20"/>
                <w:szCs w:val="20"/>
              </w:rPr>
            </w:pPr>
            <w:r>
              <w:rPr>
                <w:rFonts w:ascii="Arial" w:hAnsi="Arial" w:cs="Arial"/>
                <w:sz w:val="20"/>
                <w:szCs w:val="20"/>
              </w:rPr>
              <w:t xml:space="preserve">    $45,000 to &lt;$75,000</w:t>
            </w:r>
          </w:p>
        </w:tc>
        <w:tc>
          <w:tcPr>
            <w:tcW w:w="1872" w:type="dxa"/>
            <w:tcBorders>
              <w:top w:val="nil"/>
              <w:bottom w:val="nil"/>
            </w:tcBorders>
          </w:tcPr>
          <w:p w14:paraId="5EC60EF9"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nil"/>
            </w:tcBorders>
          </w:tcPr>
          <w:p w14:paraId="6F3959FF"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nil"/>
            </w:tcBorders>
          </w:tcPr>
          <w:p w14:paraId="063E7FEE"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720" w:type="dxa"/>
            <w:tcBorders>
              <w:top w:val="nil"/>
              <w:bottom w:val="nil"/>
            </w:tcBorders>
          </w:tcPr>
          <w:p w14:paraId="26BE7D58" w14:textId="77777777" w:rsidR="000F694A" w:rsidRPr="00A92193" w:rsidRDefault="000F694A" w:rsidP="00497A5B">
            <w:pPr>
              <w:jc w:val="right"/>
              <w:rPr>
                <w:rFonts w:ascii="Arial" w:hAnsi="Arial" w:cs="Arial"/>
                <w:sz w:val="20"/>
                <w:szCs w:val="20"/>
              </w:rPr>
            </w:pPr>
          </w:p>
        </w:tc>
      </w:tr>
      <w:tr w:rsidR="000F694A" w:rsidRPr="00A92193" w14:paraId="2D0B3C28" w14:textId="77777777" w:rsidTr="000F694A">
        <w:tc>
          <w:tcPr>
            <w:tcW w:w="2525" w:type="dxa"/>
            <w:tcBorders>
              <w:top w:val="nil"/>
              <w:bottom w:val="nil"/>
            </w:tcBorders>
          </w:tcPr>
          <w:p w14:paraId="1C751E90" w14:textId="77777777" w:rsidR="000F694A" w:rsidRDefault="000F694A" w:rsidP="00497A5B">
            <w:pPr>
              <w:rPr>
                <w:rFonts w:ascii="Arial" w:hAnsi="Arial" w:cs="Arial"/>
                <w:sz w:val="20"/>
                <w:szCs w:val="20"/>
              </w:rPr>
            </w:pPr>
            <w:r>
              <w:rPr>
                <w:rFonts w:ascii="Arial" w:hAnsi="Arial" w:cs="Arial"/>
                <w:sz w:val="20"/>
                <w:szCs w:val="20"/>
              </w:rPr>
              <w:t xml:space="preserve">    $75,000 and over</w:t>
            </w:r>
          </w:p>
        </w:tc>
        <w:tc>
          <w:tcPr>
            <w:tcW w:w="1872" w:type="dxa"/>
            <w:tcBorders>
              <w:top w:val="nil"/>
              <w:bottom w:val="nil"/>
            </w:tcBorders>
          </w:tcPr>
          <w:p w14:paraId="542236A1" w14:textId="77777777" w:rsidR="000F694A" w:rsidRPr="00CC48EF"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nil"/>
            </w:tcBorders>
          </w:tcPr>
          <w:p w14:paraId="3F96A0CB" w14:textId="77777777" w:rsidR="000F694A" w:rsidRPr="00CC48EF"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nil"/>
            </w:tcBorders>
          </w:tcPr>
          <w:p w14:paraId="10A37194" w14:textId="77777777" w:rsidR="000F694A" w:rsidRPr="00CC48EF" w:rsidRDefault="000F694A" w:rsidP="00497A5B">
            <w:pPr>
              <w:jc w:val="center"/>
              <w:rPr>
                <w:rFonts w:ascii="Arial" w:hAnsi="Arial" w:cs="Arial"/>
                <w:sz w:val="20"/>
                <w:szCs w:val="20"/>
              </w:rPr>
            </w:pPr>
            <w:r w:rsidRPr="00CC48EF">
              <w:rPr>
                <w:rFonts w:ascii="Arial" w:hAnsi="Arial" w:cs="Arial"/>
                <w:sz w:val="20"/>
                <w:szCs w:val="20"/>
              </w:rPr>
              <w:t>n (%)</w:t>
            </w:r>
          </w:p>
        </w:tc>
        <w:tc>
          <w:tcPr>
            <w:tcW w:w="720" w:type="dxa"/>
            <w:tcBorders>
              <w:top w:val="nil"/>
              <w:bottom w:val="nil"/>
            </w:tcBorders>
          </w:tcPr>
          <w:p w14:paraId="6948E878" w14:textId="77777777" w:rsidR="000F694A" w:rsidRPr="00A92193" w:rsidRDefault="000F694A" w:rsidP="00497A5B">
            <w:pPr>
              <w:jc w:val="right"/>
              <w:rPr>
                <w:rFonts w:ascii="Arial" w:hAnsi="Arial" w:cs="Arial"/>
                <w:sz w:val="20"/>
                <w:szCs w:val="20"/>
              </w:rPr>
            </w:pPr>
          </w:p>
        </w:tc>
      </w:tr>
      <w:tr w:rsidR="000F694A" w:rsidRPr="00A92193" w14:paraId="77B9D769" w14:textId="77777777" w:rsidTr="000F694A">
        <w:tc>
          <w:tcPr>
            <w:tcW w:w="2525" w:type="dxa"/>
            <w:tcBorders>
              <w:top w:val="nil"/>
              <w:bottom w:val="single" w:sz="4" w:space="0" w:color="auto"/>
            </w:tcBorders>
          </w:tcPr>
          <w:p w14:paraId="230F87F9" w14:textId="77777777" w:rsidR="000F694A" w:rsidRPr="00A92193" w:rsidRDefault="000F694A" w:rsidP="00497A5B">
            <w:pPr>
              <w:rPr>
                <w:rFonts w:ascii="Arial" w:hAnsi="Arial" w:cs="Arial"/>
                <w:sz w:val="20"/>
                <w:szCs w:val="20"/>
              </w:rPr>
            </w:pPr>
            <w:r>
              <w:rPr>
                <w:rFonts w:ascii="Arial" w:hAnsi="Arial" w:cs="Arial"/>
                <w:sz w:val="20"/>
                <w:szCs w:val="20"/>
              </w:rPr>
              <w:t xml:space="preserve">    Refused/don’t know</w:t>
            </w:r>
          </w:p>
        </w:tc>
        <w:tc>
          <w:tcPr>
            <w:tcW w:w="1872" w:type="dxa"/>
            <w:tcBorders>
              <w:top w:val="nil"/>
              <w:bottom w:val="single" w:sz="4" w:space="0" w:color="auto"/>
            </w:tcBorders>
          </w:tcPr>
          <w:p w14:paraId="25E03333"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single" w:sz="4" w:space="0" w:color="auto"/>
            </w:tcBorders>
          </w:tcPr>
          <w:p w14:paraId="2518F9E8"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1872" w:type="dxa"/>
            <w:tcBorders>
              <w:top w:val="nil"/>
              <w:bottom w:val="single" w:sz="4" w:space="0" w:color="auto"/>
            </w:tcBorders>
          </w:tcPr>
          <w:p w14:paraId="4A37EC9B" w14:textId="77777777" w:rsidR="000F694A" w:rsidRPr="00A92193" w:rsidRDefault="000F694A" w:rsidP="00497A5B">
            <w:pPr>
              <w:jc w:val="center"/>
              <w:rPr>
                <w:rFonts w:ascii="Arial" w:hAnsi="Arial" w:cs="Arial"/>
                <w:sz w:val="20"/>
                <w:szCs w:val="20"/>
              </w:rPr>
            </w:pPr>
            <w:r w:rsidRPr="00CC48EF">
              <w:rPr>
                <w:rFonts w:ascii="Arial" w:hAnsi="Arial" w:cs="Arial"/>
                <w:sz w:val="20"/>
                <w:szCs w:val="20"/>
              </w:rPr>
              <w:t>n (%)</w:t>
            </w:r>
          </w:p>
        </w:tc>
        <w:tc>
          <w:tcPr>
            <w:tcW w:w="720" w:type="dxa"/>
            <w:tcBorders>
              <w:top w:val="nil"/>
              <w:bottom w:val="single" w:sz="4" w:space="0" w:color="auto"/>
            </w:tcBorders>
          </w:tcPr>
          <w:p w14:paraId="5E7CE068" w14:textId="77777777" w:rsidR="000F694A" w:rsidRPr="00A92193" w:rsidRDefault="000F694A" w:rsidP="00497A5B">
            <w:pPr>
              <w:jc w:val="right"/>
              <w:rPr>
                <w:rFonts w:ascii="Arial" w:hAnsi="Arial" w:cs="Arial"/>
                <w:sz w:val="20"/>
                <w:szCs w:val="20"/>
              </w:rPr>
            </w:pPr>
          </w:p>
        </w:tc>
      </w:tr>
      <w:tr w:rsidR="000F694A" w:rsidRPr="00A92193" w14:paraId="74F43D92" w14:textId="77777777" w:rsidTr="000F694A">
        <w:tc>
          <w:tcPr>
            <w:tcW w:w="2525" w:type="dxa"/>
            <w:tcBorders>
              <w:top w:val="single" w:sz="4" w:space="0" w:color="auto"/>
              <w:bottom w:val="single" w:sz="4" w:space="0" w:color="auto"/>
            </w:tcBorders>
          </w:tcPr>
          <w:p w14:paraId="2F89CAFC" w14:textId="77777777" w:rsidR="000F694A" w:rsidRDefault="000F694A" w:rsidP="00497A5B">
            <w:pPr>
              <w:rPr>
                <w:rFonts w:ascii="Arial" w:hAnsi="Arial" w:cs="Arial"/>
                <w:sz w:val="20"/>
                <w:szCs w:val="20"/>
              </w:rPr>
            </w:pPr>
            <w:r>
              <w:rPr>
                <w:rFonts w:ascii="Arial" w:hAnsi="Arial" w:cs="Arial"/>
                <w:sz w:val="20"/>
                <w:szCs w:val="20"/>
              </w:rPr>
              <w:t>Diet K (mg/1000kcal)</w:t>
            </w:r>
          </w:p>
        </w:tc>
        <w:tc>
          <w:tcPr>
            <w:tcW w:w="1872" w:type="dxa"/>
            <w:tcBorders>
              <w:top w:val="single" w:sz="4" w:space="0" w:color="auto"/>
              <w:bottom w:val="single" w:sz="4" w:space="0" w:color="auto"/>
            </w:tcBorders>
          </w:tcPr>
          <w:p w14:paraId="543CF87E" w14:textId="77777777" w:rsidR="000F694A" w:rsidRPr="00A65D5A" w:rsidRDefault="000F694A" w:rsidP="00497A5B">
            <w:pPr>
              <w:jc w:val="center"/>
              <w:rPr>
                <w:rFonts w:ascii="Arial" w:hAnsi="Arial" w:cs="Arial"/>
                <w:sz w:val="20"/>
                <w:szCs w:val="20"/>
              </w:rPr>
            </w:pPr>
            <w:r w:rsidRPr="00A65D5A">
              <w:rPr>
                <w:rFonts w:ascii="Arial" w:hAnsi="Arial" w:cs="Arial"/>
                <w:sz w:val="20"/>
                <w:szCs w:val="20"/>
              </w:rPr>
              <w:t>location (spread)</w:t>
            </w:r>
          </w:p>
        </w:tc>
        <w:tc>
          <w:tcPr>
            <w:tcW w:w="1872" w:type="dxa"/>
            <w:tcBorders>
              <w:top w:val="single" w:sz="4" w:space="0" w:color="auto"/>
              <w:bottom w:val="single" w:sz="4" w:space="0" w:color="auto"/>
            </w:tcBorders>
          </w:tcPr>
          <w:p w14:paraId="4215D689" w14:textId="77777777" w:rsidR="000F694A" w:rsidRPr="00A65D5A" w:rsidRDefault="000F694A" w:rsidP="00497A5B">
            <w:pPr>
              <w:jc w:val="center"/>
              <w:rPr>
                <w:rFonts w:ascii="Arial" w:hAnsi="Arial" w:cs="Arial"/>
                <w:sz w:val="20"/>
                <w:szCs w:val="20"/>
              </w:rPr>
            </w:pPr>
            <w:r w:rsidRPr="00A65D5A">
              <w:rPr>
                <w:rFonts w:ascii="Arial" w:hAnsi="Arial" w:cs="Arial"/>
                <w:sz w:val="20"/>
                <w:szCs w:val="20"/>
              </w:rPr>
              <w:t>location (spread)</w:t>
            </w:r>
          </w:p>
        </w:tc>
        <w:tc>
          <w:tcPr>
            <w:tcW w:w="1872" w:type="dxa"/>
            <w:tcBorders>
              <w:top w:val="single" w:sz="4" w:space="0" w:color="auto"/>
              <w:bottom w:val="single" w:sz="4" w:space="0" w:color="auto"/>
            </w:tcBorders>
          </w:tcPr>
          <w:p w14:paraId="5AD41AA9" w14:textId="77777777" w:rsidR="000F694A" w:rsidRPr="00A65D5A" w:rsidRDefault="000F694A" w:rsidP="00497A5B">
            <w:pPr>
              <w:jc w:val="center"/>
              <w:rPr>
                <w:rFonts w:ascii="Arial" w:hAnsi="Arial" w:cs="Arial"/>
                <w:sz w:val="20"/>
                <w:szCs w:val="20"/>
              </w:rPr>
            </w:pPr>
            <w:r w:rsidRPr="00A65D5A">
              <w:rPr>
                <w:rFonts w:ascii="Arial" w:hAnsi="Arial" w:cs="Arial"/>
                <w:sz w:val="20"/>
                <w:szCs w:val="20"/>
              </w:rPr>
              <w:t>location (spread)</w:t>
            </w:r>
          </w:p>
        </w:tc>
        <w:tc>
          <w:tcPr>
            <w:tcW w:w="720" w:type="dxa"/>
            <w:tcBorders>
              <w:top w:val="single" w:sz="4" w:space="0" w:color="auto"/>
              <w:bottom w:val="single" w:sz="4" w:space="0" w:color="auto"/>
            </w:tcBorders>
          </w:tcPr>
          <w:p w14:paraId="160FBDE2" w14:textId="77777777" w:rsidR="000F694A" w:rsidRPr="00A92193" w:rsidRDefault="000F694A" w:rsidP="00497A5B">
            <w:pPr>
              <w:jc w:val="right"/>
              <w:rPr>
                <w:rFonts w:ascii="Arial" w:hAnsi="Arial" w:cs="Arial"/>
                <w:sz w:val="20"/>
                <w:szCs w:val="20"/>
              </w:rPr>
            </w:pPr>
            <w:r>
              <w:rPr>
                <w:rFonts w:ascii="Arial" w:hAnsi="Arial" w:cs="Arial"/>
                <w:sz w:val="20"/>
                <w:szCs w:val="20"/>
              </w:rPr>
              <w:t>XX</w:t>
            </w:r>
          </w:p>
        </w:tc>
      </w:tr>
      <w:tr w:rsidR="000F694A" w:rsidRPr="00A92193" w14:paraId="2EA8B59E" w14:textId="77777777" w:rsidTr="000F694A">
        <w:tc>
          <w:tcPr>
            <w:tcW w:w="2525" w:type="dxa"/>
            <w:tcBorders>
              <w:top w:val="single" w:sz="4" w:space="0" w:color="auto"/>
              <w:left w:val="single" w:sz="4" w:space="0" w:color="auto"/>
              <w:bottom w:val="nil"/>
            </w:tcBorders>
          </w:tcPr>
          <w:p w14:paraId="58EB0C43" w14:textId="77777777" w:rsidR="000F694A" w:rsidRDefault="000F694A" w:rsidP="00497A5B">
            <w:pPr>
              <w:rPr>
                <w:rFonts w:ascii="Arial" w:hAnsi="Arial" w:cs="Arial"/>
                <w:sz w:val="20"/>
                <w:szCs w:val="20"/>
              </w:rPr>
            </w:pPr>
            <w:r>
              <w:rPr>
                <w:rFonts w:ascii="Arial" w:hAnsi="Arial" w:cs="Arial"/>
                <w:sz w:val="20"/>
                <w:szCs w:val="20"/>
              </w:rPr>
              <w:t>Diet K intake adequacy</w:t>
            </w:r>
          </w:p>
        </w:tc>
        <w:tc>
          <w:tcPr>
            <w:tcW w:w="1872" w:type="dxa"/>
            <w:tcBorders>
              <w:top w:val="single" w:sz="4" w:space="0" w:color="auto"/>
              <w:bottom w:val="nil"/>
            </w:tcBorders>
          </w:tcPr>
          <w:p w14:paraId="4C425ADA" w14:textId="77777777" w:rsidR="000F694A" w:rsidRPr="00A65D5A" w:rsidRDefault="000F694A" w:rsidP="00497A5B">
            <w:pPr>
              <w:jc w:val="center"/>
              <w:rPr>
                <w:rFonts w:ascii="Arial" w:hAnsi="Arial" w:cs="Arial"/>
                <w:sz w:val="20"/>
                <w:szCs w:val="20"/>
              </w:rPr>
            </w:pPr>
          </w:p>
        </w:tc>
        <w:tc>
          <w:tcPr>
            <w:tcW w:w="1872" w:type="dxa"/>
            <w:tcBorders>
              <w:top w:val="single" w:sz="4" w:space="0" w:color="auto"/>
              <w:bottom w:val="nil"/>
            </w:tcBorders>
          </w:tcPr>
          <w:p w14:paraId="28A44858" w14:textId="77777777" w:rsidR="000F694A" w:rsidRPr="00A65D5A" w:rsidRDefault="000F694A" w:rsidP="00497A5B">
            <w:pPr>
              <w:jc w:val="center"/>
              <w:rPr>
                <w:rFonts w:ascii="Arial" w:hAnsi="Arial" w:cs="Arial"/>
                <w:sz w:val="20"/>
                <w:szCs w:val="20"/>
              </w:rPr>
            </w:pPr>
          </w:p>
        </w:tc>
        <w:tc>
          <w:tcPr>
            <w:tcW w:w="1872" w:type="dxa"/>
            <w:tcBorders>
              <w:top w:val="single" w:sz="4" w:space="0" w:color="auto"/>
              <w:bottom w:val="nil"/>
            </w:tcBorders>
          </w:tcPr>
          <w:p w14:paraId="41782811" w14:textId="77777777" w:rsidR="000F694A" w:rsidRPr="00A65D5A" w:rsidRDefault="000F694A" w:rsidP="00497A5B">
            <w:pPr>
              <w:jc w:val="center"/>
              <w:rPr>
                <w:rFonts w:ascii="Arial" w:hAnsi="Arial" w:cs="Arial"/>
                <w:sz w:val="20"/>
                <w:szCs w:val="20"/>
              </w:rPr>
            </w:pPr>
          </w:p>
        </w:tc>
        <w:tc>
          <w:tcPr>
            <w:tcW w:w="720" w:type="dxa"/>
            <w:tcBorders>
              <w:top w:val="single" w:sz="4" w:space="0" w:color="auto"/>
              <w:bottom w:val="nil"/>
              <w:right w:val="single" w:sz="4" w:space="0" w:color="auto"/>
            </w:tcBorders>
          </w:tcPr>
          <w:p w14:paraId="39A5F4AF" w14:textId="77777777" w:rsidR="000F694A" w:rsidRDefault="000F694A" w:rsidP="00497A5B">
            <w:pPr>
              <w:jc w:val="right"/>
              <w:rPr>
                <w:rFonts w:ascii="Arial" w:hAnsi="Arial" w:cs="Arial"/>
                <w:sz w:val="20"/>
                <w:szCs w:val="20"/>
              </w:rPr>
            </w:pPr>
          </w:p>
        </w:tc>
      </w:tr>
      <w:tr w:rsidR="000F694A" w:rsidRPr="00A92193" w14:paraId="07730DE5" w14:textId="77777777" w:rsidTr="000F694A">
        <w:tc>
          <w:tcPr>
            <w:tcW w:w="2525" w:type="dxa"/>
            <w:tcBorders>
              <w:top w:val="nil"/>
              <w:left w:val="single" w:sz="4" w:space="0" w:color="auto"/>
              <w:bottom w:val="nil"/>
            </w:tcBorders>
          </w:tcPr>
          <w:p w14:paraId="194C3249" w14:textId="77777777" w:rsidR="000F694A" w:rsidRDefault="000F694A" w:rsidP="00497A5B">
            <w:pPr>
              <w:rPr>
                <w:rFonts w:ascii="Arial" w:hAnsi="Arial" w:cs="Arial"/>
                <w:sz w:val="20"/>
                <w:szCs w:val="20"/>
              </w:rPr>
            </w:pPr>
            <w:r>
              <w:rPr>
                <w:rFonts w:ascii="Arial" w:hAnsi="Arial" w:cs="Arial"/>
                <w:sz w:val="20"/>
                <w:szCs w:val="20"/>
              </w:rPr>
              <w:t xml:space="preserve">    Inadequate</w:t>
            </w:r>
          </w:p>
        </w:tc>
        <w:tc>
          <w:tcPr>
            <w:tcW w:w="1872" w:type="dxa"/>
            <w:tcBorders>
              <w:top w:val="nil"/>
              <w:bottom w:val="nil"/>
            </w:tcBorders>
          </w:tcPr>
          <w:p w14:paraId="1B31E3BA" w14:textId="77777777" w:rsidR="000F694A" w:rsidRPr="00A65D5A" w:rsidRDefault="000F694A" w:rsidP="00497A5B">
            <w:pPr>
              <w:jc w:val="center"/>
              <w:rPr>
                <w:rFonts w:ascii="Arial" w:hAnsi="Arial" w:cs="Arial"/>
                <w:sz w:val="20"/>
                <w:szCs w:val="20"/>
              </w:rPr>
            </w:pPr>
            <w:r w:rsidRPr="001562A3">
              <w:rPr>
                <w:rFonts w:ascii="Arial" w:hAnsi="Arial" w:cs="Arial"/>
                <w:sz w:val="20"/>
                <w:szCs w:val="20"/>
              </w:rPr>
              <w:t>n (%)</w:t>
            </w:r>
          </w:p>
        </w:tc>
        <w:tc>
          <w:tcPr>
            <w:tcW w:w="1872" w:type="dxa"/>
            <w:tcBorders>
              <w:top w:val="nil"/>
              <w:bottom w:val="nil"/>
            </w:tcBorders>
          </w:tcPr>
          <w:p w14:paraId="63FA1BCD" w14:textId="77777777" w:rsidR="000F694A" w:rsidRPr="00A65D5A" w:rsidRDefault="000F694A" w:rsidP="00497A5B">
            <w:pPr>
              <w:jc w:val="center"/>
              <w:rPr>
                <w:rFonts w:ascii="Arial" w:hAnsi="Arial" w:cs="Arial"/>
                <w:sz w:val="20"/>
                <w:szCs w:val="20"/>
              </w:rPr>
            </w:pPr>
            <w:r w:rsidRPr="001562A3">
              <w:rPr>
                <w:rFonts w:ascii="Arial" w:hAnsi="Arial" w:cs="Arial"/>
                <w:sz w:val="20"/>
                <w:szCs w:val="20"/>
              </w:rPr>
              <w:t>n (%)</w:t>
            </w:r>
          </w:p>
        </w:tc>
        <w:tc>
          <w:tcPr>
            <w:tcW w:w="1872" w:type="dxa"/>
            <w:tcBorders>
              <w:top w:val="nil"/>
              <w:bottom w:val="nil"/>
            </w:tcBorders>
          </w:tcPr>
          <w:p w14:paraId="0D098162" w14:textId="77777777" w:rsidR="000F694A" w:rsidRPr="00A65D5A" w:rsidRDefault="000F694A" w:rsidP="00497A5B">
            <w:pPr>
              <w:jc w:val="center"/>
              <w:rPr>
                <w:rFonts w:ascii="Arial" w:hAnsi="Arial" w:cs="Arial"/>
                <w:sz w:val="20"/>
                <w:szCs w:val="20"/>
              </w:rPr>
            </w:pPr>
            <w:r w:rsidRPr="001562A3">
              <w:rPr>
                <w:rFonts w:ascii="Arial" w:hAnsi="Arial" w:cs="Arial"/>
                <w:sz w:val="20"/>
                <w:szCs w:val="20"/>
              </w:rPr>
              <w:t>n (%)</w:t>
            </w:r>
          </w:p>
        </w:tc>
        <w:tc>
          <w:tcPr>
            <w:tcW w:w="720" w:type="dxa"/>
            <w:tcBorders>
              <w:top w:val="nil"/>
              <w:bottom w:val="nil"/>
              <w:right w:val="single" w:sz="4" w:space="0" w:color="auto"/>
            </w:tcBorders>
          </w:tcPr>
          <w:p w14:paraId="40B55462" w14:textId="77777777" w:rsidR="000F694A" w:rsidRDefault="000F694A" w:rsidP="00497A5B">
            <w:pPr>
              <w:jc w:val="right"/>
              <w:rPr>
                <w:rFonts w:ascii="Arial" w:hAnsi="Arial" w:cs="Arial"/>
                <w:sz w:val="20"/>
                <w:szCs w:val="20"/>
              </w:rPr>
            </w:pPr>
          </w:p>
        </w:tc>
      </w:tr>
      <w:tr w:rsidR="000F694A" w:rsidRPr="00A92193" w14:paraId="27B97CFE" w14:textId="77777777" w:rsidTr="000F694A">
        <w:tc>
          <w:tcPr>
            <w:tcW w:w="2525" w:type="dxa"/>
            <w:tcBorders>
              <w:top w:val="nil"/>
              <w:left w:val="single" w:sz="4" w:space="0" w:color="auto"/>
              <w:bottom w:val="nil"/>
            </w:tcBorders>
          </w:tcPr>
          <w:p w14:paraId="63E8B8F2" w14:textId="77777777" w:rsidR="000F694A" w:rsidRDefault="000F694A" w:rsidP="00497A5B">
            <w:pPr>
              <w:rPr>
                <w:rFonts w:ascii="Arial" w:hAnsi="Arial" w:cs="Arial"/>
                <w:sz w:val="20"/>
                <w:szCs w:val="20"/>
              </w:rPr>
            </w:pPr>
            <w:r>
              <w:rPr>
                <w:rFonts w:ascii="Arial" w:hAnsi="Arial" w:cs="Arial"/>
                <w:sz w:val="20"/>
                <w:szCs w:val="20"/>
              </w:rPr>
              <w:t xml:space="preserve">    Borderline</w:t>
            </w:r>
          </w:p>
        </w:tc>
        <w:tc>
          <w:tcPr>
            <w:tcW w:w="1872" w:type="dxa"/>
            <w:tcBorders>
              <w:top w:val="nil"/>
              <w:bottom w:val="nil"/>
            </w:tcBorders>
          </w:tcPr>
          <w:p w14:paraId="720C02F0" w14:textId="77777777" w:rsidR="000F694A" w:rsidRPr="001562A3" w:rsidRDefault="000F694A" w:rsidP="00497A5B">
            <w:pPr>
              <w:jc w:val="center"/>
              <w:rPr>
                <w:rFonts w:ascii="Arial" w:hAnsi="Arial" w:cs="Arial"/>
                <w:sz w:val="20"/>
                <w:szCs w:val="20"/>
              </w:rPr>
            </w:pPr>
          </w:p>
        </w:tc>
        <w:tc>
          <w:tcPr>
            <w:tcW w:w="1872" w:type="dxa"/>
            <w:tcBorders>
              <w:top w:val="nil"/>
              <w:bottom w:val="nil"/>
            </w:tcBorders>
          </w:tcPr>
          <w:p w14:paraId="51D9A806" w14:textId="77777777" w:rsidR="000F694A" w:rsidRPr="001562A3" w:rsidRDefault="000F694A" w:rsidP="00497A5B">
            <w:pPr>
              <w:jc w:val="center"/>
              <w:rPr>
                <w:rFonts w:ascii="Arial" w:hAnsi="Arial" w:cs="Arial"/>
                <w:sz w:val="20"/>
                <w:szCs w:val="20"/>
              </w:rPr>
            </w:pPr>
          </w:p>
        </w:tc>
        <w:tc>
          <w:tcPr>
            <w:tcW w:w="1872" w:type="dxa"/>
            <w:tcBorders>
              <w:top w:val="nil"/>
              <w:bottom w:val="nil"/>
            </w:tcBorders>
          </w:tcPr>
          <w:p w14:paraId="260FCB51" w14:textId="77777777" w:rsidR="000F694A" w:rsidRPr="001562A3" w:rsidRDefault="000F694A" w:rsidP="00497A5B">
            <w:pPr>
              <w:jc w:val="center"/>
              <w:rPr>
                <w:rFonts w:ascii="Arial" w:hAnsi="Arial" w:cs="Arial"/>
                <w:sz w:val="20"/>
                <w:szCs w:val="20"/>
              </w:rPr>
            </w:pPr>
          </w:p>
        </w:tc>
        <w:tc>
          <w:tcPr>
            <w:tcW w:w="720" w:type="dxa"/>
            <w:tcBorders>
              <w:top w:val="nil"/>
              <w:bottom w:val="nil"/>
              <w:right w:val="single" w:sz="4" w:space="0" w:color="auto"/>
            </w:tcBorders>
          </w:tcPr>
          <w:p w14:paraId="46F7B3CC" w14:textId="77777777" w:rsidR="000F694A" w:rsidRDefault="000F694A" w:rsidP="00497A5B">
            <w:pPr>
              <w:jc w:val="right"/>
              <w:rPr>
                <w:rFonts w:ascii="Arial" w:hAnsi="Arial" w:cs="Arial"/>
                <w:sz w:val="20"/>
                <w:szCs w:val="20"/>
              </w:rPr>
            </w:pPr>
          </w:p>
        </w:tc>
      </w:tr>
      <w:tr w:rsidR="000F694A" w:rsidRPr="00A92193" w14:paraId="037046AD" w14:textId="77777777" w:rsidTr="000F694A">
        <w:tc>
          <w:tcPr>
            <w:tcW w:w="2525" w:type="dxa"/>
            <w:tcBorders>
              <w:top w:val="nil"/>
              <w:left w:val="single" w:sz="4" w:space="0" w:color="auto"/>
              <w:bottom w:val="single" w:sz="4" w:space="0" w:color="auto"/>
            </w:tcBorders>
          </w:tcPr>
          <w:p w14:paraId="11FCD49F" w14:textId="77777777" w:rsidR="000F694A" w:rsidRDefault="000F694A" w:rsidP="00497A5B">
            <w:pPr>
              <w:rPr>
                <w:rFonts w:ascii="Arial" w:hAnsi="Arial" w:cs="Arial"/>
                <w:sz w:val="20"/>
                <w:szCs w:val="20"/>
              </w:rPr>
            </w:pPr>
            <w:r>
              <w:rPr>
                <w:rFonts w:ascii="Arial" w:hAnsi="Arial" w:cs="Arial"/>
                <w:sz w:val="20"/>
                <w:szCs w:val="20"/>
              </w:rPr>
              <w:t xml:space="preserve">    Adequate</w:t>
            </w:r>
          </w:p>
        </w:tc>
        <w:tc>
          <w:tcPr>
            <w:tcW w:w="1872" w:type="dxa"/>
            <w:tcBorders>
              <w:top w:val="nil"/>
              <w:bottom w:val="single" w:sz="4" w:space="0" w:color="auto"/>
            </w:tcBorders>
          </w:tcPr>
          <w:p w14:paraId="2B75A204" w14:textId="77777777" w:rsidR="000F694A" w:rsidRPr="00A65D5A" w:rsidRDefault="000F694A" w:rsidP="00497A5B">
            <w:pPr>
              <w:jc w:val="center"/>
              <w:rPr>
                <w:rFonts w:ascii="Arial" w:hAnsi="Arial" w:cs="Arial"/>
                <w:sz w:val="20"/>
                <w:szCs w:val="20"/>
              </w:rPr>
            </w:pPr>
            <w:r w:rsidRPr="001562A3">
              <w:rPr>
                <w:rFonts w:ascii="Arial" w:hAnsi="Arial" w:cs="Arial"/>
                <w:sz w:val="20"/>
                <w:szCs w:val="20"/>
              </w:rPr>
              <w:t>n (%)</w:t>
            </w:r>
          </w:p>
        </w:tc>
        <w:tc>
          <w:tcPr>
            <w:tcW w:w="1872" w:type="dxa"/>
            <w:tcBorders>
              <w:top w:val="nil"/>
              <w:bottom w:val="single" w:sz="4" w:space="0" w:color="auto"/>
            </w:tcBorders>
          </w:tcPr>
          <w:p w14:paraId="5AD54D84" w14:textId="77777777" w:rsidR="000F694A" w:rsidRPr="00A65D5A" w:rsidRDefault="000F694A" w:rsidP="00497A5B">
            <w:pPr>
              <w:jc w:val="center"/>
              <w:rPr>
                <w:rFonts w:ascii="Arial" w:hAnsi="Arial" w:cs="Arial"/>
                <w:sz w:val="20"/>
                <w:szCs w:val="20"/>
              </w:rPr>
            </w:pPr>
            <w:r w:rsidRPr="001562A3">
              <w:rPr>
                <w:rFonts w:ascii="Arial" w:hAnsi="Arial" w:cs="Arial"/>
                <w:sz w:val="20"/>
                <w:szCs w:val="20"/>
              </w:rPr>
              <w:t>n (%)</w:t>
            </w:r>
          </w:p>
        </w:tc>
        <w:tc>
          <w:tcPr>
            <w:tcW w:w="1872" w:type="dxa"/>
            <w:tcBorders>
              <w:top w:val="nil"/>
              <w:bottom w:val="single" w:sz="4" w:space="0" w:color="auto"/>
            </w:tcBorders>
          </w:tcPr>
          <w:p w14:paraId="440BA788" w14:textId="77777777" w:rsidR="000F694A" w:rsidRPr="00A65D5A" w:rsidRDefault="000F694A" w:rsidP="00497A5B">
            <w:pPr>
              <w:jc w:val="center"/>
              <w:rPr>
                <w:rFonts w:ascii="Arial" w:hAnsi="Arial" w:cs="Arial"/>
                <w:sz w:val="20"/>
                <w:szCs w:val="20"/>
              </w:rPr>
            </w:pPr>
            <w:r w:rsidRPr="001562A3">
              <w:rPr>
                <w:rFonts w:ascii="Arial" w:hAnsi="Arial" w:cs="Arial"/>
                <w:sz w:val="20"/>
                <w:szCs w:val="20"/>
              </w:rPr>
              <w:t>n (%)</w:t>
            </w:r>
          </w:p>
        </w:tc>
        <w:tc>
          <w:tcPr>
            <w:tcW w:w="720" w:type="dxa"/>
            <w:tcBorders>
              <w:top w:val="nil"/>
              <w:bottom w:val="single" w:sz="4" w:space="0" w:color="auto"/>
              <w:right w:val="single" w:sz="4" w:space="0" w:color="auto"/>
            </w:tcBorders>
          </w:tcPr>
          <w:p w14:paraId="0E26D970" w14:textId="77777777" w:rsidR="000F694A" w:rsidRDefault="000F694A" w:rsidP="00497A5B">
            <w:pPr>
              <w:jc w:val="right"/>
              <w:rPr>
                <w:rFonts w:ascii="Arial" w:hAnsi="Arial" w:cs="Arial"/>
                <w:sz w:val="20"/>
                <w:szCs w:val="20"/>
              </w:rPr>
            </w:pPr>
          </w:p>
        </w:tc>
      </w:tr>
    </w:tbl>
    <w:p w14:paraId="294B83A0" w14:textId="44CF5FAC" w:rsidR="00A5711E" w:rsidRDefault="00A5711E" w:rsidP="00A5711E">
      <w:pPr>
        <w:pStyle w:val="Heading1"/>
      </w:pPr>
      <w:r>
        <w:t>References</w:t>
      </w:r>
    </w:p>
    <w:p w14:paraId="3A5C01D0" w14:textId="7E52A74D" w:rsidR="00A5711E" w:rsidRDefault="007D756B" w:rsidP="00A5711E">
      <w:r>
        <w:t>None.</w:t>
      </w:r>
    </w:p>
    <w:p w14:paraId="1C6C9656" w14:textId="77777777" w:rsidR="00A5711E" w:rsidRDefault="00A5711E" w:rsidP="00A5711E"/>
    <w:p w14:paraId="3B953C4F" w14:textId="31B4521C" w:rsidR="00A5711E" w:rsidRDefault="00A5711E" w:rsidP="00A5711E"/>
    <w:p w14:paraId="1AB195AD" w14:textId="77777777" w:rsidR="00422786" w:rsidRDefault="00422786" w:rsidP="00E646E8"/>
    <w:sectPr w:rsidR="00422786" w:rsidSect="004A3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B7FFB" w14:textId="77777777" w:rsidR="00D344DC" w:rsidRDefault="00D344DC" w:rsidP="00F41CF9">
      <w:pPr>
        <w:spacing w:after="0" w:line="240" w:lineRule="auto"/>
      </w:pPr>
      <w:r>
        <w:separator/>
      </w:r>
    </w:p>
  </w:endnote>
  <w:endnote w:type="continuationSeparator" w:id="0">
    <w:p w14:paraId="7B7793F4" w14:textId="77777777" w:rsidR="00D344DC" w:rsidRDefault="00D344DC" w:rsidP="00F41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BB340" w14:textId="77777777" w:rsidR="00D344DC" w:rsidRDefault="00D344DC" w:rsidP="00F41CF9">
      <w:pPr>
        <w:spacing w:after="0" w:line="240" w:lineRule="auto"/>
      </w:pPr>
      <w:r>
        <w:separator/>
      </w:r>
    </w:p>
  </w:footnote>
  <w:footnote w:type="continuationSeparator" w:id="0">
    <w:p w14:paraId="7B56D0B3" w14:textId="77777777" w:rsidR="00D344DC" w:rsidRDefault="00D344DC" w:rsidP="00F41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6E5"/>
    <w:multiLevelType w:val="hybridMultilevel"/>
    <w:tmpl w:val="4864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16FA4"/>
    <w:multiLevelType w:val="hybridMultilevel"/>
    <w:tmpl w:val="3EF4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86CBF"/>
    <w:multiLevelType w:val="hybridMultilevel"/>
    <w:tmpl w:val="53D20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72F27"/>
    <w:multiLevelType w:val="hybridMultilevel"/>
    <w:tmpl w:val="53D20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12467"/>
    <w:multiLevelType w:val="hybridMultilevel"/>
    <w:tmpl w:val="81C87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1FC"/>
    <w:multiLevelType w:val="hybridMultilevel"/>
    <w:tmpl w:val="3EF4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061D5"/>
    <w:multiLevelType w:val="hybridMultilevel"/>
    <w:tmpl w:val="B8622920"/>
    <w:lvl w:ilvl="0" w:tplc="0409000F">
      <w:start w:val="1"/>
      <w:numFmt w:val="decimal"/>
      <w:lvlText w:val="%1."/>
      <w:lvlJc w:val="left"/>
      <w:pPr>
        <w:ind w:left="720" w:hanging="360"/>
      </w:pPr>
      <w:rPr>
        <w:rFonts w:hint="default"/>
      </w:rPr>
    </w:lvl>
    <w:lvl w:ilvl="1" w:tplc="A726DBA6">
      <w:start w:val="1"/>
      <w:numFmt w:val="lowerLetter"/>
      <w:lvlText w:val="%2."/>
      <w:lvlJc w:val="left"/>
      <w:pPr>
        <w:ind w:left="1440" w:hanging="360"/>
      </w:pPr>
      <w:rPr>
        <w:rFonts w:hint="default"/>
      </w:rPr>
    </w:lvl>
    <w:lvl w:ilvl="2" w:tplc="0E2E3D72">
      <w:start w:val="1"/>
      <w:numFmt w:val="bullet"/>
      <w:lvlText w:val="-"/>
      <w:lvlJc w:val="left"/>
      <w:pPr>
        <w:ind w:left="2340" w:hanging="360"/>
      </w:pPr>
      <w:rPr>
        <w:rFonts w:ascii="Cambria" w:eastAsiaTheme="minorHAnsi" w:hAnsi="Cambria"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B74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28971CB"/>
    <w:multiLevelType w:val="hybridMultilevel"/>
    <w:tmpl w:val="3EF4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A15AE"/>
    <w:multiLevelType w:val="hybridMultilevel"/>
    <w:tmpl w:val="3EF4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C195B"/>
    <w:multiLevelType w:val="hybridMultilevel"/>
    <w:tmpl w:val="53D20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0"/>
  </w:num>
  <w:num w:numId="5">
    <w:abstractNumId w:val="2"/>
  </w:num>
  <w:num w:numId="6">
    <w:abstractNumId w:val="7"/>
  </w:num>
  <w:num w:numId="7">
    <w:abstractNumId w:val="7"/>
  </w:num>
  <w:num w:numId="8">
    <w:abstractNumId w:val="7"/>
  </w:num>
  <w:num w:numId="9">
    <w:abstractNumId w:val="7"/>
  </w:num>
  <w:num w:numId="10">
    <w:abstractNumId w:val="7"/>
  </w:num>
  <w:num w:numId="11">
    <w:abstractNumId w:val="9"/>
  </w:num>
  <w:num w:numId="12">
    <w:abstractNumId w:val="5"/>
  </w:num>
  <w:num w:numId="13">
    <w:abstractNumId w:val="8"/>
  </w:num>
  <w:num w:numId="14">
    <w:abstractNumId w:val="1"/>
  </w:num>
  <w:num w:numId="15">
    <w:abstractNumId w:val="7"/>
  </w:num>
  <w:num w:numId="16">
    <w:abstractNumId w:val="7"/>
  </w:num>
  <w:num w:numId="17">
    <w:abstractNumId w:val="7"/>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51"/>
    <w:rsid w:val="00003292"/>
    <w:rsid w:val="0000352B"/>
    <w:rsid w:val="00005AF9"/>
    <w:rsid w:val="00020589"/>
    <w:rsid w:val="0002323F"/>
    <w:rsid w:val="00024375"/>
    <w:rsid w:val="00024937"/>
    <w:rsid w:val="00025134"/>
    <w:rsid w:val="00040E28"/>
    <w:rsid w:val="00047966"/>
    <w:rsid w:val="00050ED7"/>
    <w:rsid w:val="00051805"/>
    <w:rsid w:val="000623E9"/>
    <w:rsid w:val="0006279F"/>
    <w:rsid w:val="00070C9D"/>
    <w:rsid w:val="00073903"/>
    <w:rsid w:val="00082ADD"/>
    <w:rsid w:val="0009010A"/>
    <w:rsid w:val="000905A1"/>
    <w:rsid w:val="00090CEB"/>
    <w:rsid w:val="000A3A78"/>
    <w:rsid w:val="000A7BDD"/>
    <w:rsid w:val="000B0EEB"/>
    <w:rsid w:val="000B7D99"/>
    <w:rsid w:val="000C46CF"/>
    <w:rsid w:val="000C5C76"/>
    <w:rsid w:val="000C5F6F"/>
    <w:rsid w:val="000D079D"/>
    <w:rsid w:val="000E2466"/>
    <w:rsid w:val="000E2BD8"/>
    <w:rsid w:val="000F16A4"/>
    <w:rsid w:val="000F694A"/>
    <w:rsid w:val="0010270C"/>
    <w:rsid w:val="00103169"/>
    <w:rsid w:val="0011132D"/>
    <w:rsid w:val="0012056D"/>
    <w:rsid w:val="00122CE3"/>
    <w:rsid w:val="00130115"/>
    <w:rsid w:val="00130A79"/>
    <w:rsid w:val="00134ADD"/>
    <w:rsid w:val="00136DFC"/>
    <w:rsid w:val="001459E2"/>
    <w:rsid w:val="00152DC7"/>
    <w:rsid w:val="0015649E"/>
    <w:rsid w:val="001616F1"/>
    <w:rsid w:val="001619DC"/>
    <w:rsid w:val="00177C49"/>
    <w:rsid w:val="0018326B"/>
    <w:rsid w:val="00185C35"/>
    <w:rsid w:val="00193648"/>
    <w:rsid w:val="00196CA4"/>
    <w:rsid w:val="001B3C9B"/>
    <w:rsid w:val="001B752C"/>
    <w:rsid w:val="001C3C0F"/>
    <w:rsid w:val="001C7E7D"/>
    <w:rsid w:val="001D1870"/>
    <w:rsid w:val="001E2099"/>
    <w:rsid w:val="001F008A"/>
    <w:rsid w:val="001F75FE"/>
    <w:rsid w:val="001F7C01"/>
    <w:rsid w:val="002004D2"/>
    <w:rsid w:val="00204F17"/>
    <w:rsid w:val="00211F61"/>
    <w:rsid w:val="0021491C"/>
    <w:rsid w:val="00217537"/>
    <w:rsid w:val="002177D1"/>
    <w:rsid w:val="00226F70"/>
    <w:rsid w:val="00226FA9"/>
    <w:rsid w:val="002371BC"/>
    <w:rsid w:val="0024207E"/>
    <w:rsid w:val="0025120B"/>
    <w:rsid w:val="0025121B"/>
    <w:rsid w:val="00256111"/>
    <w:rsid w:val="00267DDF"/>
    <w:rsid w:val="00270A05"/>
    <w:rsid w:val="002768DE"/>
    <w:rsid w:val="002769CB"/>
    <w:rsid w:val="00281B64"/>
    <w:rsid w:val="00283C0D"/>
    <w:rsid w:val="002915BA"/>
    <w:rsid w:val="00291BC4"/>
    <w:rsid w:val="00293F89"/>
    <w:rsid w:val="00294EB1"/>
    <w:rsid w:val="002A0404"/>
    <w:rsid w:val="002A0909"/>
    <w:rsid w:val="002A0EA8"/>
    <w:rsid w:val="002A1CBC"/>
    <w:rsid w:val="002A5428"/>
    <w:rsid w:val="002B080D"/>
    <w:rsid w:val="002B420C"/>
    <w:rsid w:val="002C1F6A"/>
    <w:rsid w:val="002D0296"/>
    <w:rsid w:val="002D2947"/>
    <w:rsid w:val="002D60D8"/>
    <w:rsid w:val="002D6CC3"/>
    <w:rsid w:val="002F1502"/>
    <w:rsid w:val="002F1A26"/>
    <w:rsid w:val="00301046"/>
    <w:rsid w:val="00303AA1"/>
    <w:rsid w:val="003166B6"/>
    <w:rsid w:val="00317009"/>
    <w:rsid w:val="00317EE6"/>
    <w:rsid w:val="00321BCE"/>
    <w:rsid w:val="003251F5"/>
    <w:rsid w:val="00335970"/>
    <w:rsid w:val="00336C67"/>
    <w:rsid w:val="00342AC7"/>
    <w:rsid w:val="00355561"/>
    <w:rsid w:val="0036588D"/>
    <w:rsid w:val="003703A2"/>
    <w:rsid w:val="003743DB"/>
    <w:rsid w:val="00375D11"/>
    <w:rsid w:val="003772E7"/>
    <w:rsid w:val="00381EFC"/>
    <w:rsid w:val="00382E42"/>
    <w:rsid w:val="00386010"/>
    <w:rsid w:val="00392985"/>
    <w:rsid w:val="00396BA6"/>
    <w:rsid w:val="00397E6D"/>
    <w:rsid w:val="003B0207"/>
    <w:rsid w:val="003B666E"/>
    <w:rsid w:val="003B690F"/>
    <w:rsid w:val="003B7944"/>
    <w:rsid w:val="003C1E50"/>
    <w:rsid w:val="003C2F17"/>
    <w:rsid w:val="003D1B45"/>
    <w:rsid w:val="003E1422"/>
    <w:rsid w:val="003E1D1B"/>
    <w:rsid w:val="003E3CAE"/>
    <w:rsid w:val="003F0268"/>
    <w:rsid w:val="003F15A5"/>
    <w:rsid w:val="003F2414"/>
    <w:rsid w:val="003F346E"/>
    <w:rsid w:val="003F7A8E"/>
    <w:rsid w:val="00400BF8"/>
    <w:rsid w:val="0041170D"/>
    <w:rsid w:val="004171AE"/>
    <w:rsid w:val="00422786"/>
    <w:rsid w:val="00425552"/>
    <w:rsid w:val="0042582D"/>
    <w:rsid w:val="00427F1C"/>
    <w:rsid w:val="004304A7"/>
    <w:rsid w:val="004407ED"/>
    <w:rsid w:val="00470878"/>
    <w:rsid w:val="0047258A"/>
    <w:rsid w:val="004845F8"/>
    <w:rsid w:val="004856B2"/>
    <w:rsid w:val="00485E6C"/>
    <w:rsid w:val="00487DE2"/>
    <w:rsid w:val="0049019D"/>
    <w:rsid w:val="00490A45"/>
    <w:rsid w:val="004975AF"/>
    <w:rsid w:val="00497D7F"/>
    <w:rsid w:val="004A221E"/>
    <w:rsid w:val="004A3E41"/>
    <w:rsid w:val="004A651F"/>
    <w:rsid w:val="004B3250"/>
    <w:rsid w:val="004B3510"/>
    <w:rsid w:val="004B4710"/>
    <w:rsid w:val="004B6DBE"/>
    <w:rsid w:val="004C46D3"/>
    <w:rsid w:val="004C7785"/>
    <w:rsid w:val="004D1BD6"/>
    <w:rsid w:val="004D1EC5"/>
    <w:rsid w:val="004D6722"/>
    <w:rsid w:val="004E301D"/>
    <w:rsid w:val="004E76CA"/>
    <w:rsid w:val="004F7ACC"/>
    <w:rsid w:val="00520694"/>
    <w:rsid w:val="005223D0"/>
    <w:rsid w:val="00525EE7"/>
    <w:rsid w:val="00526DA4"/>
    <w:rsid w:val="00534510"/>
    <w:rsid w:val="005359A8"/>
    <w:rsid w:val="00537B91"/>
    <w:rsid w:val="00541251"/>
    <w:rsid w:val="00543C51"/>
    <w:rsid w:val="00543E7E"/>
    <w:rsid w:val="00552C0F"/>
    <w:rsid w:val="005551ED"/>
    <w:rsid w:val="00555920"/>
    <w:rsid w:val="005563DF"/>
    <w:rsid w:val="00556703"/>
    <w:rsid w:val="00573545"/>
    <w:rsid w:val="00576944"/>
    <w:rsid w:val="005801BE"/>
    <w:rsid w:val="005913E7"/>
    <w:rsid w:val="00592FFF"/>
    <w:rsid w:val="005A52EC"/>
    <w:rsid w:val="005A78C9"/>
    <w:rsid w:val="005C2711"/>
    <w:rsid w:val="005C2B99"/>
    <w:rsid w:val="005C3370"/>
    <w:rsid w:val="005E43E5"/>
    <w:rsid w:val="005F59F4"/>
    <w:rsid w:val="006116FB"/>
    <w:rsid w:val="00611D3F"/>
    <w:rsid w:val="0062051C"/>
    <w:rsid w:val="00627D38"/>
    <w:rsid w:val="0063236D"/>
    <w:rsid w:val="00632EE6"/>
    <w:rsid w:val="0063384F"/>
    <w:rsid w:val="006372C3"/>
    <w:rsid w:val="00643EEF"/>
    <w:rsid w:val="006442BC"/>
    <w:rsid w:val="00646867"/>
    <w:rsid w:val="0065034F"/>
    <w:rsid w:val="00655CF8"/>
    <w:rsid w:val="006574B1"/>
    <w:rsid w:val="00657F3C"/>
    <w:rsid w:val="00657FB8"/>
    <w:rsid w:val="006645E4"/>
    <w:rsid w:val="00664D2B"/>
    <w:rsid w:val="00665AAB"/>
    <w:rsid w:val="0067007A"/>
    <w:rsid w:val="006723D5"/>
    <w:rsid w:val="006813A7"/>
    <w:rsid w:val="0068385A"/>
    <w:rsid w:val="0068561E"/>
    <w:rsid w:val="00685B7D"/>
    <w:rsid w:val="00693118"/>
    <w:rsid w:val="00695DBF"/>
    <w:rsid w:val="006A261E"/>
    <w:rsid w:val="006A364F"/>
    <w:rsid w:val="006A5F9C"/>
    <w:rsid w:val="006A777F"/>
    <w:rsid w:val="006B5770"/>
    <w:rsid w:val="006C0F46"/>
    <w:rsid w:val="006C358C"/>
    <w:rsid w:val="006C5D94"/>
    <w:rsid w:val="006D1AB9"/>
    <w:rsid w:val="006E01F8"/>
    <w:rsid w:val="006E4E80"/>
    <w:rsid w:val="006E756E"/>
    <w:rsid w:val="006F3890"/>
    <w:rsid w:val="006F591D"/>
    <w:rsid w:val="006F5C48"/>
    <w:rsid w:val="006F7280"/>
    <w:rsid w:val="00701D2F"/>
    <w:rsid w:val="00706787"/>
    <w:rsid w:val="007223B6"/>
    <w:rsid w:val="0072389E"/>
    <w:rsid w:val="00726542"/>
    <w:rsid w:val="00737174"/>
    <w:rsid w:val="00741628"/>
    <w:rsid w:val="00747614"/>
    <w:rsid w:val="007617DF"/>
    <w:rsid w:val="00762F20"/>
    <w:rsid w:val="007656F2"/>
    <w:rsid w:val="00772396"/>
    <w:rsid w:val="0078259C"/>
    <w:rsid w:val="00790CD9"/>
    <w:rsid w:val="0079521A"/>
    <w:rsid w:val="00797241"/>
    <w:rsid w:val="007A2CC5"/>
    <w:rsid w:val="007B49BE"/>
    <w:rsid w:val="007C1BE7"/>
    <w:rsid w:val="007C54D7"/>
    <w:rsid w:val="007C7A39"/>
    <w:rsid w:val="007D60C4"/>
    <w:rsid w:val="007D756B"/>
    <w:rsid w:val="007E24B4"/>
    <w:rsid w:val="007E7BC9"/>
    <w:rsid w:val="007F13EE"/>
    <w:rsid w:val="007F3A02"/>
    <w:rsid w:val="00800B2B"/>
    <w:rsid w:val="00800D17"/>
    <w:rsid w:val="00803142"/>
    <w:rsid w:val="00823BCF"/>
    <w:rsid w:val="008315EE"/>
    <w:rsid w:val="00835D70"/>
    <w:rsid w:val="00843743"/>
    <w:rsid w:val="00843C30"/>
    <w:rsid w:val="008513AC"/>
    <w:rsid w:val="008514F2"/>
    <w:rsid w:val="00851AE3"/>
    <w:rsid w:val="0085693D"/>
    <w:rsid w:val="008652B4"/>
    <w:rsid w:val="008672B6"/>
    <w:rsid w:val="00877EE2"/>
    <w:rsid w:val="00880A2B"/>
    <w:rsid w:val="008A066D"/>
    <w:rsid w:val="008A0D52"/>
    <w:rsid w:val="008A2A60"/>
    <w:rsid w:val="008A5413"/>
    <w:rsid w:val="008A7489"/>
    <w:rsid w:val="008B224A"/>
    <w:rsid w:val="008C0E3E"/>
    <w:rsid w:val="008C1E50"/>
    <w:rsid w:val="008C6850"/>
    <w:rsid w:val="008C7F6A"/>
    <w:rsid w:val="008D4C25"/>
    <w:rsid w:val="008D55E2"/>
    <w:rsid w:val="008E5047"/>
    <w:rsid w:val="008E7FF7"/>
    <w:rsid w:val="008F0E06"/>
    <w:rsid w:val="0091112D"/>
    <w:rsid w:val="00911215"/>
    <w:rsid w:val="00914D26"/>
    <w:rsid w:val="0091764E"/>
    <w:rsid w:val="00940874"/>
    <w:rsid w:val="0094344C"/>
    <w:rsid w:val="00950AE3"/>
    <w:rsid w:val="00966678"/>
    <w:rsid w:val="00967812"/>
    <w:rsid w:val="009819D8"/>
    <w:rsid w:val="0099158A"/>
    <w:rsid w:val="009A6BD4"/>
    <w:rsid w:val="009A6C4E"/>
    <w:rsid w:val="009B2DFE"/>
    <w:rsid w:val="009B5D53"/>
    <w:rsid w:val="009B7390"/>
    <w:rsid w:val="009C570F"/>
    <w:rsid w:val="009D1D7C"/>
    <w:rsid w:val="009D65D9"/>
    <w:rsid w:val="009E4F71"/>
    <w:rsid w:val="009E6A94"/>
    <w:rsid w:val="009F495E"/>
    <w:rsid w:val="00A006A8"/>
    <w:rsid w:val="00A02C8A"/>
    <w:rsid w:val="00A11940"/>
    <w:rsid w:val="00A15D95"/>
    <w:rsid w:val="00A24E0A"/>
    <w:rsid w:val="00A26469"/>
    <w:rsid w:val="00A27D51"/>
    <w:rsid w:val="00A3578A"/>
    <w:rsid w:val="00A375A2"/>
    <w:rsid w:val="00A377DC"/>
    <w:rsid w:val="00A5247E"/>
    <w:rsid w:val="00A56383"/>
    <w:rsid w:val="00A5711E"/>
    <w:rsid w:val="00A60417"/>
    <w:rsid w:val="00A65408"/>
    <w:rsid w:val="00A67E1A"/>
    <w:rsid w:val="00A70C77"/>
    <w:rsid w:val="00A73357"/>
    <w:rsid w:val="00A8605D"/>
    <w:rsid w:val="00A932FD"/>
    <w:rsid w:val="00A93B3E"/>
    <w:rsid w:val="00A941DC"/>
    <w:rsid w:val="00A94BA4"/>
    <w:rsid w:val="00A95102"/>
    <w:rsid w:val="00AA0AC4"/>
    <w:rsid w:val="00AA72FC"/>
    <w:rsid w:val="00AB41CC"/>
    <w:rsid w:val="00AB5494"/>
    <w:rsid w:val="00AC127A"/>
    <w:rsid w:val="00AC2760"/>
    <w:rsid w:val="00AD0116"/>
    <w:rsid w:val="00AD1198"/>
    <w:rsid w:val="00AD2488"/>
    <w:rsid w:val="00AD60C1"/>
    <w:rsid w:val="00AF15F6"/>
    <w:rsid w:val="00AF3EFC"/>
    <w:rsid w:val="00B02699"/>
    <w:rsid w:val="00B1088D"/>
    <w:rsid w:val="00B25B4C"/>
    <w:rsid w:val="00B27476"/>
    <w:rsid w:val="00B338A7"/>
    <w:rsid w:val="00B403B6"/>
    <w:rsid w:val="00B419D0"/>
    <w:rsid w:val="00B4245B"/>
    <w:rsid w:val="00B52C73"/>
    <w:rsid w:val="00B54819"/>
    <w:rsid w:val="00B57A1B"/>
    <w:rsid w:val="00B60B24"/>
    <w:rsid w:val="00B61AD7"/>
    <w:rsid w:val="00B63F23"/>
    <w:rsid w:val="00B64068"/>
    <w:rsid w:val="00B66647"/>
    <w:rsid w:val="00B91CF4"/>
    <w:rsid w:val="00B923AD"/>
    <w:rsid w:val="00B9343D"/>
    <w:rsid w:val="00BA05A5"/>
    <w:rsid w:val="00BA1101"/>
    <w:rsid w:val="00BA19FF"/>
    <w:rsid w:val="00BA35BC"/>
    <w:rsid w:val="00BB0730"/>
    <w:rsid w:val="00BB1556"/>
    <w:rsid w:val="00BD087C"/>
    <w:rsid w:val="00BD13C6"/>
    <w:rsid w:val="00BD1E7E"/>
    <w:rsid w:val="00BD28D3"/>
    <w:rsid w:val="00BD3721"/>
    <w:rsid w:val="00BE1115"/>
    <w:rsid w:val="00BE15E3"/>
    <w:rsid w:val="00BF226D"/>
    <w:rsid w:val="00C00AA1"/>
    <w:rsid w:val="00C011D9"/>
    <w:rsid w:val="00C10168"/>
    <w:rsid w:val="00C10959"/>
    <w:rsid w:val="00C12719"/>
    <w:rsid w:val="00C1402A"/>
    <w:rsid w:val="00C14451"/>
    <w:rsid w:val="00C15B80"/>
    <w:rsid w:val="00C20491"/>
    <w:rsid w:val="00C20DF3"/>
    <w:rsid w:val="00C266AF"/>
    <w:rsid w:val="00C3330C"/>
    <w:rsid w:val="00C33415"/>
    <w:rsid w:val="00C5290C"/>
    <w:rsid w:val="00C57A8E"/>
    <w:rsid w:val="00C60802"/>
    <w:rsid w:val="00C7705E"/>
    <w:rsid w:val="00C8509E"/>
    <w:rsid w:val="00C865A2"/>
    <w:rsid w:val="00C9043F"/>
    <w:rsid w:val="00C90B8C"/>
    <w:rsid w:val="00C95AE1"/>
    <w:rsid w:val="00C95DCD"/>
    <w:rsid w:val="00CA0FD2"/>
    <w:rsid w:val="00CA4F8E"/>
    <w:rsid w:val="00CA72D4"/>
    <w:rsid w:val="00CB48A5"/>
    <w:rsid w:val="00CC2580"/>
    <w:rsid w:val="00CD36D5"/>
    <w:rsid w:val="00CD74D4"/>
    <w:rsid w:val="00CD7EC1"/>
    <w:rsid w:val="00CE4FCB"/>
    <w:rsid w:val="00CE6C96"/>
    <w:rsid w:val="00D02404"/>
    <w:rsid w:val="00D03339"/>
    <w:rsid w:val="00D05DDE"/>
    <w:rsid w:val="00D1553B"/>
    <w:rsid w:val="00D17A40"/>
    <w:rsid w:val="00D17E14"/>
    <w:rsid w:val="00D25920"/>
    <w:rsid w:val="00D277AE"/>
    <w:rsid w:val="00D27EF8"/>
    <w:rsid w:val="00D32250"/>
    <w:rsid w:val="00D344DC"/>
    <w:rsid w:val="00D34FA2"/>
    <w:rsid w:val="00D35C3F"/>
    <w:rsid w:val="00D36143"/>
    <w:rsid w:val="00D42194"/>
    <w:rsid w:val="00D46CD7"/>
    <w:rsid w:val="00D50592"/>
    <w:rsid w:val="00D5278B"/>
    <w:rsid w:val="00D553E5"/>
    <w:rsid w:val="00D55B65"/>
    <w:rsid w:val="00D645B3"/>
    <w:rsid w:val="00D66D70"/>
    <w:rsid w:val="00D743D3"/>
    <w:rsid w:val="00D76040"/>
    <w:rsid w:val="00D80F0F"/>
    <w:rsid w:val="00D8762B"/>
    <w:rsid w:val="00D911B6"/>
    <w:rsid w:val="00D94F8B"/>
    <w:rsid w:val="00DA0445"/>
    <w:rsid w:val="00DA6CCB"/>
    <w:rsid w:val="00DB558F"/>
    <w:rsid w:val="00DC3846"/>
    <w:rsid w:val="00DD7470"/>
    <w:rsid w:val="00DF1278"/>
    <w:rsid w:val="00E00AD1"/>
    <w:rsid w:val="00E165E6"/>
    <w:rsid w:val="00E16961"/>
    <w:rsid w:val="00E17C5F"/>
    <w:rsid w:val="00E21144"/>
    <w:rsid w:val="00E22137"/>
    <w:rsid w:val="00E3055C"/>
    <w:rsid w:val="00E36C76"/>
    <w:rsid w:val="00E55BE2"/>
    <w:rsid w:val="00E60874"/>
    <w:rsid w:val="00E60E2B"/>
    <w:rsid w:val="00E6155D"/>
    <w:rsid w:val="00E646E8"/>
    <w:rsid w:val="00E678C9"/>
    <w:rsid w:val="00E7212A"/>
    <w:rsid w:val="00E74205"/>
    <w:rsid w:val="00E8290C"/>
    <w:rsid w:val="00E84A9A"/>
    <w:rsid w:val="00E86565"/>
    <w:rsid w:val="00E866A4"/>
    <w:rsid w:val="00E93990"/>
    <w:rsid w:val="00E97D2F"/>
    <w:rsid w:val="00EA16E5"/>
    <w:rsid w:val="00EA336D"/>
    <w:rsid w:val="00EA3502"/>
    <w:rsid w:val="00EA3B44"/>
    <w:rsid w:val="00EB0E14"/>
    <w:rsid w:val="00EB10FC"/>
    <w:rsid w:val="00EB27C1"/>
    <w:rsid w:val="00EB5FBF"/>
    <w:rsid w:val="00EB7A8D"/>
    <w:rsid w:val="00EC18FA"/>
    <w:rsid w:val="00EC44A3"/>
    <w:rsid w:val="00EC479F"/>
    <w:rsid w:val="00ED5462"/>
    <w:rsid w:val="00EE483C"/>
    <w:rsid w:val="00EE4E7B"/>
    <w:rsid w:val="00EE771E"/>
    <w:rsid w:val="00EF1E96"/>
    <w:rsid w:val="00EF711F"/>
    <w:rsid w:val="00F003CF"/>
    <w:rsid w:val="00F01EEF"/>
    <w:rsid w:val="00F057E1"/>
    <w:rsid w:val="00F222B4"/>
    <w:rsid w:val="00F23113"/>
    <w:rsid w:val="00F36C0C"/>
    <w:rsid w:val="00F41CF9"/>
    <w:rsid w:val="00F65B03"/>
    <w:rsid w:val="00F65FD5"/>
    <w:rsid w:val="00F80395"/>
    <w:rsid w:val="00F83227"/>
    <w:rsid w:val="00F8347B"/>
    <w:rsid w:val="00F83EAE"/>
    <w:rsid w:val="00F93E0C"/>
    <w:rsid w:val="00F96E4D"/>
    <w:rsid w:val="00FA6401"/>
    <w:rsid w:val="00FB7797"/>
    <w:rsid w:val="00FC45F3"/>
    <w:rsid w:val="00FD3547"/>
    <w:rsid w:val="00FD4F46"/>
    <w:rsid w:val="00FE1F23"/>
    <w:rsid w:val="00FE1FF9"/>
    <w:rsid w:val="00FE4346"/>
    <w:rsid w:val="00FF2ED1"/>
    <w:rsid w:val="00FF3F05"/>
    <w:rsid w:val="00FF50D9"/>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A294"/>
  <w15:docId w15:val="{61D937E4-D55F-4A38-8E9A-F48E3FCA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4A7"/>
    <w:rPr>
      <w:rFonts w:ascii="Cambria" w:hAnsi="Cambria"/>
    </w:rPr>
  </w:style>
  <w:style w:type="paragraph" w:styleId="Heading1">
    <w:name w:val="heading 1"/>
    <w:basedOn w:val="Normal"/>
    <w:next w:val="Normal"/>
    <w:link w:val="Heading1Char"/>
    <w:uiPriority w:val="9"/>
    <w:qFormat/>
    <w:rsid w:val="004304A7"/>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304A7"/>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304A7"/>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3C5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43C5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3C5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3C5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3C5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3C5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4A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304A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304A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43C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3C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3C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3C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C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C5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43C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C5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304A7"/>
    <w:pPr>
      <w:spacing w:after="0" w:line="240" w:lineRule="auto"/>
    </w:pPr>
    <w:rPr>
      <w:rFonts w:ascii="Cambria" w:hAnsi="Cambria"/>
    </w:rPr>
  </w:style>
  <w:style w:type="paragraph" w:styleId="ListParagraph">
    <w:name w:val="List Paragraph"/>
    <w:basedOn w:val="Normal"/>
    <w:uiPriority w:val="34"/>
    <w:qFormat/>
    <w:rsid w:val="00543C51"/>
    <w:pPr>
      <w:ind w:left="720"/>
      <w:contextualSpacing/>
    </w:pPr>
  </w:style>
  <w:style w:type="character" w:styleId="PlaceholderText">
    <w:name w:val="Placeholder Text"/>
    <w:basedOn w:val="DefaultParagraphFont"/>
    <w:uiPriority w:val="99"/>
    <w:semiHidden/>
    <w:rsid w:val="00543C51"/>
    <w:rPr>
      <w:color w:val="808080"/>
    </w:rPr>
  </w:style>
  <w:style w:type="paragraph" w:styleId="BalloonText">
    <w:name w:val="Balloon Text"/>
    <w:basedOn w:val="Normal"/>
    <w:link w:val="BalloonTextChar"/>
    <w:uiPriority w:val="99"/>
    <w:semiHidden/>
    <w:unhideWhenUsed/>
    <w:rsid w:val="00543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C51"/>
    <w:rPr>
      <w:rFonts w:ascii="Tahoma" w:hAnsi="Tahoma" w:cs="Tahoma"/>
      <w:sz w:val="16"/>
      <w:szCs w:val="16"/>
    </w:rPr>
  </w:style>
  <w:style w:type="character" w:styleId="CommentReference">
    <w:name w:val="annotation reference"/>
    <w:basedOn w:val="DefaultParagraphFont"/>
    <w:uiPriority w:val="99"/>
    <w:semiHidden/>
    <w:unhideWhenUsed/>
    <w:rsid w:val="00543C51"/>
    <w:rPr>
      <w:sz w:val="16"/>
      <w:szCs w:val="16"/>
    </w:rPr>
  </w:style>
  <w:style w:type="paragraph" w:styleId="CommentText">
    <w:name w:val="annotation text"/>
    <w:basedOn w:val="Normal"/>
    <w:link w:val="CommentTextChar"/>
    <w:uiPriority w:val="99"/>
    <w:semiHidden/>
    <w:unhideWhenUsed/>
    <w:rsid w:val="00543C51"/>
    <w:pPr>
      <w:spacing w:line="240" w:lineRule="auto"/>
    </w:pPr>
    <w:rPr>
      <w:sz w:val="20"/>
      <w:szCs w:val="20"/>
    </w:rPr>
  </w:style>
  <w:style w:type="character" w:customStyle="1" w:styleId="CommentTextChar">
    <w:name w:val="Comment Text Char"/>
    <w:basedOn w:val="DefaultParagraphFont"/>
    <w:link w:val="CommentText"/>
    <w:uiPriority w:val="99"/>
    <w:semiHidden/>
    <w:rsid w:val="00543C51"/>
    <w:rPr>
      <w:sz w:val="20"/>
      <w:szCs w:val="20"/>
    </w:rPr>
  </w:style>
  <w:style w:type="paragraph" w:styleId="CommentSubject">
    <w:name w:val="annotation subject"/>
    <w:basedOn w:val="CommentText"/>
    <w:next w:val="CommentText"/>
    <w:link w:val="CommentSubjectChar"/>
    <w:uiPriority w:val="99"/>
    <w:semiHidden/>
    <w:unhideWhenUsed/>
    <w:rsid w:val="00543C51"/>
    <w:rPr>
      <w:b/>
      <w:bCs/>
    </w:rPr>
  </w:style>
  <w:style w:type="character" w:customStyle="1" w:styleId="CommentSubjectChar">
    <w:name w:val="Comment Subject Char"/>
    <w:basedOn w:val="CommentTextChar"/>
    <w:link w:val="CommentSubject"/>
    <w:uiPriority w:val="99"/>
    <w:semiHidden/>
    <w:rsid w:val="00543C51"/>
    <w:rPr>
      <w:b/>
      <w:bCs/>
      <w:sz w:val="20"/>
      <w:szCs w:val="20"/>
    </w:rPr>
  </w:style>
  <w:style w:type="table" w:styleId="TableGrid">
    <w:name w:val="Table Grid"/>
    <w:basedOn w:val="TableNormal"/>
    <w:uiPriority w:val="39"/>
    <w:rsid w:val="0054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3C5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43C51"/>
  </w:style>
  <w:style w:type="paragraph" w:styleId="Header">
    <w:name w:val="header"/>
    <w:basedOn w:val="Normal"/>
    <w:link w:val="HeaderChar"/>
    <w:uiPriority w:val="99"/>
    <w:unhideWhenUsed/>
    <w:rsid w:val="00F41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CF9"/>
    <w:rPr>
      <w:rFonts w:ascii="Cambria" w:hAnsi="Cambria"/>
    </w:rPr>
  </w:style>
  <w:style w:type="paragraph" w:styleId="Footer">
    <w:name w:val="footer"/>
    <w:basedOn w:val="Normal"/>
    <w:link w:val="FooterChar"/>
    <w:uiPriority w:val="99"/>
    <w:unhideWhenUsed/>
    <w:rsid w:val="00F41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CF9"/>
    <w:rPr>
      <w:rFonts w:ascii="Cambria" w:hAnsi="Cambria"/>
    </w:rPr>
  </w:style>
  <w:style w:type="character" w:styleId="Hyperlink">
    <w:name w:val="Hyperlink"/>
    <w:basedOn w:val="DefaultParagraphFont"/>
    <w:uiPriority w:val="99"/>
    <w:unhideWhenUsed/>
    <w:rsid w:val="003B0207"/>
    <w:rPr>
      <w:color w:val="0000FF" w:themeColor="hyperlink"/>
      <w:u w:val="single"/>
    </w:rPr>
  </w:style>
  <w:style w:type="character" w:styleId="FollowedHyperlink">
    <w:name w:val="FollowedHyperlink"/>
    <w:basedOn w:val="DefaultParagraphFont"/>
    <w:uiPriority w:val="99"/>
    <w:semiHidden/>
    <w:unhideWhenUsed/>
    <w:rsid w:val="00E16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169">
      <w:bodyDiv w:val="1"/>
      <w:marLeft w:val="0"/>
      <w:marRight w:val="0"/>
      <w:marTop w:val="0"/>
      <w:marBottom w:val="0"/>
      <w:divBdr>
        <w:top w:val="none" w:sz="0" w:space="0" w:color="auto"/>
        <w:left w:val="none" w:sz="0" w:space="0" w:color="auto"/>
        <w:bottom w:val="none" w:sz="0" w:space="0" w:color="auto"/>
        <w:right w:val="none" w:sz="0" w:space="0" w:color="auto"/>
      </w:divBdr>
    </w:div>
    <w:div w:id="164324970">
      <w:bodyDiv w:val="1"/>
      <w:marLeft w:val="0"/>
      <w:marRight w:val="0"/>
      <w:marTop w:val="0"/>
      <w:marBottom w:val="0"/>
      <w:divBdr>
        <w:top w:val="none" w:sz="0" w:space="0" w:color="auto"/>
        <w:left w:val="none" w:sz="0" w:space="0" w:color="auto"/>
        <w:bottom w:val="none" w:sz="0" w:space="0" w:color="auto"/>
        <w:right w:val="none" w:sz="0" w:space="0" w:color="auto"/>
      </w:divBdr>
    </w:div>
    <w:div w:id="182675679">
      <w:bodyDiv w:val="1"/>
      <w:marLeft w:val="0"/>
      <w:marRight w:val="0"/>
      <w:marTop w:val="0"/>
      <w:marBottom w:val="0"/>
      <w:divBdr>
        <w:top w:val="none" w:sz="0" w:space="0" w:color="auto"/>
        <w:left w:val="none" w:sz="0" w:space="0" w:color="auto"/>
        <w:bottom w:val="none" w:sz="0" w:space="0" w:color="auto"/>
        <w:right w:val="none" w:sz="0" w:space="0" w:color="auto"/>
      </w:divBdr>
    </w:div>
    <w:div w:id="420875855">
      <w:bodyDiv w:val="1"/>
      <w:marLeft w:val="0"/>
      <w:marRight w:val="0"/>
      <w:marTop w:val="0"/>
      <w:marBottom w:val="0"/>
      <w:divBdr>
        <w:top w:val="none" w:sz="0" w:space="0" w:color="auto"/>
        <w:left w:val="none" w:sz="0" w:space="0" w:color="auto"/>
        <w:bottom w:val="none" w:sz="0" w:space="0" w:color="auto"/>
        <w:right w:val="none" w:sz="0" w:space="0" w:color="auto"/>
      </w:divBdr>
    </w:div>
    <w:div w:id="442237503">
      <w:bodyDiv w:val="1"/>
      <w:marLeft w:val="0"/>
      <w:marRight w:val="0"/>
      <w:marTop w:val="0"/>
      <w:marBottom w:val="0"/>
      <w:divBdr>
        <w:top w:val="none" w:sz="0" w:space="0" w:color="auto"/>
        <w:left w:val="none" w:sz="0" w:space="0" w:color="auto"/>
        <w:bottom w:val="none" w:sz="0" w:space="0" w:color="auto"/>
        <w:right w:val="none" w:sz="0" w:space="0" w:color="auto"/>
      </w:divBdr>
    </w:div>
    <w:div w:id="477651070">
      <w:bodyDiv w:val="1"/>
      <w:marLeft w:val="0"/>
      <w:marRight w:val="0"/>
      <w:marTop w:val="0"/>
      <w:marBottom w:val="0"/>
      <w:divBdr>
        <w:top w:val="none" w:sz="0" w:space="0" w:color="auto"/>
        <w:left w:val="none" w:sz="0" w:space="0" w:color="auto"/>
        <w:bottom w:val="none" w:sz="0" w:space="0" w:color="auto"/>
        <w:right w:val="none" w:sz="0" w:space="0" w:color="auto"/>
      </w:divBdr>
    </w:div>
    <w:div w:id="584416484">
      <w:bodyDiv w:val="1"/>
      <w:marLeft w:val="0"/>
      <w:marRight w:val="0"/>
      <w:marTop w:val="0"/>
      <w:marBottom w:val="0"/>
      <w:divBdr>
        <w:top w:val="none" w:sz="0" w:space="0" w:color="auto"/>
        <w:left w:val="none" w:sz="0" w:space="0" w:color="auto"/>
        <w:bottom w:val="none" w:sz="0" w:space="0" w:color="auto"/>
        <w:right w:val="none" w:sz="0" w:space="0" w:color="auto"/>
      </w:divBdr>
    </w:div>
    <w:div w:id="643004269">
      <w:bodyDiv w:val="1"/>
      <w:marLeft w:val="0"/>
      <w:marRight w:val="0"/>
      <w:marTop w:val="0"/>
      <w:marBottom w:val="0"/>
      <w:divBdr>
        <w:top w:val="none" w:sz="0" w:space="0" w:color="auto"/>
        <w:left w:val="none" w:sz="0" w:space="0" w:color="auto"/>
        <w:bottom w:val="none" w:sz="0" w:space="0" w:color="auto"/>
        <w:right w:val="none" w:sz="0" w:space="0" w:color="auto"/>
      </w:divBdr>
    </w:div>
    <w:div w:id="653528798">
      <w:bodyDiv w:val="1"/>
      <w:marLeft w:val="0"/>
      <w:marRight w:val="0"/>
      <w:marTop w:val="0"/>
      <w:marBottom w:val="0"/>
      <w:divBdr>
        <w:top w:val="none" w:sz="0" w:space="0" w:color="auto"/>
        <w:left w:val="none" w:sz="0" w:space="0" w:color="auto"/>
        <w:bottom w:val="none" w:sz="0" w:space="0" w:color="auto"/>
        <w:right w:val="none" w:sz="0" w:space="0" w:color="auto"/>
      </w:divBdr>
    </w:div>
    <w:div w:id="661741141">
      <w:bodyDiv w:val="1"/>
      <w:marLeft w:val="0"/>
      <w:marRight w:val="0"/>
      <w:marTop w:val="0"/>
      <w:marBottom w:val="0"/>
      <w:divBdr>
        <w:top w:val="none" w:sz="0" w:space="0" w:color="auto"/>
        <w:left w:val="none" w:sz="0" w:space="0" w:color="auto"/>
        <w:bottom w:val="none" w:sz="0" w:space="0" w:color="auto"/>
        <w:right w:val="none" w:sz="0" w:space="0" w:color="auto"/>
      </w:divBdr>
    </w:div>
    <w:div w:id="740758140">
      <w:bodyDiv w:val="1"/>
      <w:marLeft w:val="0"/>
      <w:marRight w:val="0"/>
      <w:marTop w:val="0"/>
      <w:marBottom w:val="0"/>
      <w:divBdr>
        <w:top w:val="none" w:sz="0" w:space="0" w:color="auto"/>
        <w:left w:val="none" w:sz="0" w:space="0" w:color="auto"/>
        <w:bottom w:val="none" w:sz="0" w:space="0" w:color="auto"/>
        <w:right w:val="none" w:sz="0" w:space="0" w:color="auto"/>
      </w:divBdr>
    </w:div>
    <w:div w:id="743376110">
      <w:bodyDiv w:val="1"/>
      <w:marLeft w:val="0"/>
      <w:marRight w:val="0"/>
      <w:marTop w:val="0"/>
      <w:marBottom w:val="0"/>
      <w:divBdr>
        <w:top w:val="none" w:sz="0" w:space="0" w:color="auto"/>
        <w:left w:val="none" w:sz="0" w:space="0" w:color="auto"/>
        <w:bottom w:val="none" w:sz="0" w:space="0" w:color="auto"/>
        <w:right w:val="none" w:sz="0" w:space="0" w:color="auto"/>
      </w:divBdr>
    </w:div>
    <w:div w:id="745150351">
      <w:bodyDiv w:val="1"/>
      <w:marLeft w:val="0"/>
      <w:marRight w:val="0"/>
      <w:marTop w:val="0"/>
      <w:marBottom w:val="0"/>
      <w:divBdr>
        <w:top w:val="none" w:sz="0" w:space="0" w:color="auto"/>
        <w:left w:val="none" w:sz="0" w:space="0" w:color="auto"/>
        <w:bottom w:val="none" w:sz="0" w:space="0" w:color="auto"/>
        <w:right w:val="none" w:sz="0" w:space="0" w:color="auto"/>
      </w:divBdr>
    </w:div>
    <w:div w:id="876117406">
      <w:bodyDiv w:val="1"/>
      <w:marLeft w:val="0"/>
      <w:marRight w:val="0"/>
      <w:marTop w:val="0"/>
      <w:marBottom w:val="0"/>
      <w:divBdr>
        <w:top w:val="none" w:sz="0" w:space="0" w:color="auto"/>
        <w:left w:val="none" w:sz="0" w:space="0" w:color="auto"/>
        <w:bottom w:val="none" w:sz="0" w:space="0" w:color="auto"/>
        <w:right w:val="none" w:sz="0" w:space="0" w:color="auto"/>
      </w:divBdr>
    </w:div>
    <w:div w:id="920485458">
      <w:bodyDiv w:val="1"/>
      <w:marLeft w:val="0"/>
      <w:marRight w:val="0"/>
      <w:marTop w:val="0"/>
      <w:marBottom w:val="0"/>
      <w:divBdr>
        <w:top w:val="none" w:sz="0" w:space="0" w:color="auto"/>
        <w:left w:val="none" w:sz="0" w:space="0" w:color="auto"/>
        <w:bottom w:val="none" w:sz="0" w:space="0" w:color="auto"/>
        <w:right w:val="none" w:sz="0" w:space="0" w:color="auto"/>
      </w:divBdr>
    </w:div>
    <w:div w:id="1037775736">
      <w:bodyDiv w:val="1"/>
      <w:marLeft w:val="0"/>
      <w:marRight w:val="0"/>
      <w:marTop w:val="0"/>
      <w:marBottom w:val="0"/>
      <w:divBdr>
        <w:top w:val="none" w:sz="0" w:space="0" w:color="auto"/>
        <w:left w:val="none" w:sz="0" w:space="0" w:color="auto"/>
        <w:bottom w:val="none" w:sz="0" w:space="0" w:color="auto"/>
        <w:right w:val="none" w:sz="0" w:space="0" w:color="auto"/>
      </w:divBdr>
    </w:div>
    <w:div w:id="1108355806">
      <w:bodyDiv w:val="1"/>
      <w:marLeft w:val="0"/>
      <w:marRight w:val="0"/>
      <w:marTop w:val="0"/>
      <w:marBottom w:val="0"/>
      <w:divBdr>
        <w:top w:val="none" w:sz="0" w:space="0" w:color="auto"/>
        <w:left w:val="none" w:sz="0" w:space="0" w:color="auto"/>
        <w:bottom w:val="none" w:sz="0" w:space="0" w:color="auto"/>
        <w:right w:val="none" w:sz="0" w:space="0" w:color="auto"/>
      </w:divBdr>
    </w:div>
    <w:div w:id="1229460242">
      <w:bodyDiv w:val="1"/>
      <w:marLeft w:val="0"/>
      <w:marRight w:val="0"/>
      <w:marTop w:val="0"/>
      <w:marBottom w:val="0"/>
      <w:divBdr>
        <w:top w:val="none" w:sz="0" w:space="0" w:color="auto"/>
        <w:left w:val="none" w:sz="0" w:space="0" w:color="auto"/>
        <w:bottom w:val="none" w:sz="0" w:space="0" w:color="auto"/>
        <w:right w:val="none" w:sz="0" w:space="0" w:color="auto"/>
      </w:divBdr>
    </w:div>
    <w:div w:id="1238636240">
      <w:bodyDiv w:val="1"/>
      <w:marLeft w:val="0"/>
      <w:marRight w:val="0"/>
      <w:marTop w:val="0"/>
      <w:marBottom w:val="0"/>
      <w:divBdr>
        <w:top w:val="none" w:sz="0" w:space="0" w:color="auto"/>
        <w:left w:val="none" w:sz="0" w:space="0" w:color="auto"/>
        <w:bottom w:val="none" w:sz="0" w:space="0" w:color="auto"/>
        <w:right w:val="none" w:sz="0" w:space="0" w:color="auto"/>
      </w:divBdr>
    </w:div>
    <w:div w:id="1319728062">
      <w:bodyDiv w:val="1"/>
      <w:marLeft w:val="0"/>
      <w:marRight w:val="0"/>
      <w:marTop w:val="0"/>
      <w:marBottom w:val="0"/>
      <w:divBdr>
        <w:top w:val="none" w:sz="0" w:space="0" w:color="auto"/>
        <w:left w:val="none" w:sz="0" w:space="0" w:color="auto"/>
        <w:bottom w:val="none" w:sz="0" w:space="0" w:color="auto"/>
        <w:right w:val="none" w:sz="0" w:space="0" w:color="auto"/>
      </w:divBdr>
    </w:div>
    <w:div w:id="1547716114">
      <w:bodyDiv w:val="1"/>
      <w:marLeft w:val="0"/>
      <w:marRight w:val="0"/>
      <w:marTop w:val="0"/>
      <w:marBottom w:val="0"/>
      <w:divBdr>
        <w:top w:val="none" w:sz="0" w:space="0" w:color="auto"/>
        <w:left w:val="none" w:sz="0" w:space="0" w:color="auto"/>
        <w:bottom w:val="none" w:sz="0" w:space="0" w:color="auto"/>
        <w:right w:val="none" w:sz="0" w:space="0" w:color="auto"/>
      </w:divBdr>
    </w:div>
    <w:div w:id="1615019294">
      <w:bodyDiv w:val="1"/>
      <w:marLeft w:val="0"/>
      <w:marRight w:val="0"/>
      <w:marTop w:val="0"/>
      <w:marBottom w:val="0"/>
      <w:divBdr>
        <w:top w:val="none" w:sz="0" w:space="0" w:color="auto"/>
        <w:left w:val="none" w:sz="0" w:space="0" w:color="auto"/>
        <w:bottom w:val="none" w:sz="0" w:space="0" w:color="auto"/>
        <w:right w:val="none" w:sz="0" w:space="0" w:color="auto"/>
      </w:divBdr>
    </w:div>
    <w:div w:id="1692997837">
      <w:bodyDiv w:val="1"/>
      <w:marLeft w:val="0"/>
      <w:marRight w:val="0"/>
      <w:marTop w:val="0"/>
      <w:marBottom w:val="0"/>
      <w:divBdr>
        <w:top w:val="none" w:sz="0" w:space="0" w:color="auto"/>
        <w:left w:val="none" w:sz="0" w:space="0" w:color="auto"/>
        <w:bottom w:val="none" w:sz="0" w:space="0" w:color="auto"/>
        <w:right w:val="none" w:sz="0" w:space="0" w:color="auto"/>
      </w:divBdr>
    </w:div>
    <w:div w:id="1774326035">
      <w:bodyDiv w:val="1"/>
      <w:marLeft w:val="0"/>
      <w:marRight w:val="0"/>
      <w:marTop w:val="0"/>
      <w:marBottom w:val="0"/>
      <w:divBdr>
        <w:top w:val="none" w:sz="0" w:space="0" w:color="auto"/>
        <w:left w:val="none" w:sz="0" w:space="0" w:color="auto"/>
        <w:bottom w:val="none" w:sz="0" w:space="0" w:color="auto"/>
        <w:right w:val="none" w:sz="0" w:space="0" w:color="auto"/>
      </w:divBdr>
    </w:div>
    <w:div w:id="1799293904">
      <w:bodyDiv w:val="1"/>
      <w:marLeft w:val="0"/>
      <w:marRight w:val="0"/>
      <w:marTop w:val="0"/>
      <w:marBottom w:val="0"/>
      <w:divBdr>
        <w:top w:val="none" w:sz="0" w:space="0" w:color="auto"/>
        <w:left w:val="none" w:sz="0" w:space="0" w:color="auto"/>
        <w:bottom w:val="none" w:sz="0" w:space="0" w:color="auto"/>
        <w:right w:val="none" w:sz="0" w:space="0" w:color="auto"/>
      </w:divBdr>
    </w:div>
    <w:div w:id="1830242433">
      <w:bodyDiv w:val="1"/>
      <w:marLeft w:val="0"/>
      <w:marRight w:val="0"/>
      <w:marTop w:val="0"/>
      <w:marBottom w:val="0"/>
      <w:divBdr>
        <w:top w:val="none" w:sz="0" w:space="0" w:color="auto"/>
        <w:left w:val="none" w:sz="0" w:space="0" w:color="auto"/>
        <w:bottom w:val="none" w:sz="0" w:space="0" w:color="auto"/>
        <w:right w:val="none" w:sz="0" w:space="0" w:color="auto"/>
      </w:divBdr>
    </w:div>
    <w:div w:id="1841850690">
      <w:bodyDiv w:val="1"/>
      <w:marLeft w:val="0"/>
      <w:marRight w:val="0"/>
      <w:marTop w:val="0"/>
      <w:marBottom w:val="0"/>
      <w:divBdr>
        <w:top w:val="none" w:sz="0" w:space="0" w:color="auto"/>
        <w:left w:val="none" w:sz="0" w:space="0" w:color="auto"/>
        <w:bottom w:val="none" w:sz="0" w:space="0" w:color="auto"/>
        <w:right w:val="none" w:sz="0" w:space="0" w:color="auto"/>
      </w:divBdr>
    </w:div>
    <w:div w:id="1846699160">
      <w:bodyDiv w:val="1"/>
      <w:marLeft w:val="0"/>
      <w:marRight w:val="0"/>
      <w:marTop w:val="0"/>
      <w:marBottom w:val="0"/>
      <w:divBdr>
        <w:top w:val="none" w:sz="0" w:space="0" w:color="auto"/>
        <w:left w:val="none" w:sz="0" w:space="0" w:color="auto"/>
        <w:bottom w:val="none" w:sz="0" w:space="0" w:color="auto"/>
        <w:right w:val="none" w:sz="0" w:space="0" w:color="auto"/>
      </w:divBdr>
    </w:div>
    <w:div w:id="1860698265">
      <w:bodyDiv w:val="1"/>
      <w:marLeft w:val="0"/>
      <w:marRight w:val="0"/>
      <w:marTop w:val="0"/>
      <w:marBottom w:val="0"/>
      <w:divBdr>
        <w:top w:val="none" w:sz="0" w:space="0" w:color="auto"/>
        <w:left w:val="none" w:sz="0" w:space="0" w:color="auto"/>
        <w:bottom w:val="none" w:sz="0" w:space="0" w:color="auto"/>
        <w:right w:val="none" w:sz="0" w:space="0" w:color="auto"/>
      </w:divBdr>
    </w:div>
    <w:div w:id="1862813453">
      <w:bodyDiv w:val="1"/>
      <w:marLeft w:val="0"/>
      <w:marRight w:val="0"/>
      <w:marTop w:val="0"/>
      <w:marBottom w:val="0"/>
      <w:divBdr>
        <w:top w:val="none" w:sz="0" w:space="0" w:color="auto"/>
        <w:left w:val="none" w:sz="0" w:space="0" w:color="auto"/>
        <w:bottom w:val="none" w:sz="0" w:space="0" w:color="auto"/>
        <w:right w:val="none" w:sz="0" w:space="0" w:color="auto"/>
      </w:divBdr>
    </w:div>
    <w:div w:id="20090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nhanes/about_nhanes.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kidney.org/content/ckd-epi-creatinine-equation-2009"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dc.gov/nchs/nhanes/continuousnhanes/default.aspx?BeginYear=2017"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Tina.Davenport@duke.edu"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dc.gov/nchs/nhanes/continuousnhanes/default.aspx?BeginYear=2017"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Tib96</b:Tag>
    <b:SourceType>JournalArticle</b:SourceType>
    <b:Guid>{22C75DE6-271B-48D7-9180-7D6DDB5B4E94}</b:Guid>
    <b:Author>
      <b:Author>
        <b:NameList>
          <b:Person>
            <b:Last>Tibshirani</b:Last>
            <b:First>Robert</b:First>
          </b:Person>
        </b:NameList>
      </b:Author>
    </b:Author>
    <b:Title>Regression Shrinkage and Selection via the LASSO</b:Title>
    <b:JournalName>Journal of the Royal Statistical Society Series B</b:JournalName>
    <b:Year>1996</b:Year>
    <b:Pages>267–288</b:Pages>
    <b:Volume>58</b:Volume>
    <b:Issue>1</b:Issue>
    <b:RefOrder>2</b:RefOrder>
  </b:Source>
  <b:Source>
    <b:Tag>DeL88</b:Tag>
    <b:SourceType>JournalArticle</b:SourceType>
    <b:Guid>{52E3024F-760B-4205-822C-7791A6C09A60}</b:Guid>
    <b:Title>Comparing the Areas under Two or More Correlated Receiver Operating Characteristic Curves: A Nonparametric Approach</b:Title>
    <b:Year>1988</b:Year>
    <b:Author>
      <b:Author>
        <b:NameList>
          <b:Person>
            <b:Last>DeLong</b:Last>
            <b:First>Elizabeth</b:First>
            <b:Middle>R</b:Middle>
          </b:Person>
          <b:Person>
            <b:Last>DeLong</b:Last>
            <b:First>David</b:First>
            <b:Middle>M</b:Middle>
          </b:Person>
          <b:Person>
            <b:Last>Clarke-Pearson</b:Last>
            <b:First>Daniel</b:First>
            <b:Middle>L</b:Middle>
          </b:Person>
        </b:NameList>
      </b:Author>
    </b:Author>
    <b:JournalName>Biometrics</b:JournalName>
    <b:Pages>837-845</b:Pages>
    <b:Volume>44</b:Volume>
    <b:Issue>3</b:Issue>
    <b:RefOrder>1</b:RefOrder>
  </b:Source>
</b:Sources>
</file>

<file path=customXml/itemProps1.xml><?xml version="1.0" encoding="utf-8"?>
<ds:datastoreItem xmlns:ds="http://schemas.openxmlformats.org/officeDocument/2006/customXml" ds:itemID="{7A956C17-0F1C-4881-91A2-E825A564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21</Pages>
  <Words>6403</Words>
  <Characters>36498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Tina Davenport</dc:creator>
  <cp:lastModifiedBy>Brandon Sucher</cp:lastModifiedBy>
  <cp:revision>436</cp:revision>
  <dcterms:created xsi:type="dcterms:W3CDTF">2021-09-03T21:12:00Z</dcterms:created>
  <dcterms:modified xsi:type="dcterms:W3CDTF">2021-11-24T00:55:00Z</dcterms:modified>
</cp:coreProperties>
</file>