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2025 SS045 Annual Monitoring Report</w:t>
        <w:br/>
        <w:t>Client Reporting Rules and Document-Control Conventions</w:t>
      </w:r>
    </w:p>
    <w:p>
      <w:pPr>
        <w:jc w:val="center"/>
      </w:pPr>
      <w:r>
        <w:rPr>
          <w:rFonts w:ascii="Arial" w:hAnsi="Arial"/>
          <w:i/>
          <w:sz w:val="20"/>
        </w:rPr>
        <w:t>Working control document for preparation of the Air Force working copy</w:t>
      </w:r>
    </w:p>
    <w:p>
      <w:r>
        <w:t>Purpose. This document records the reporting conventions that will control the 2025 SS045 AMR working copy. It is intended to prevent scope drift, preserve client preferences, and ensure that tables, figures, plates, and appendices are prepared as standalone support material. This document is not intended for regulator submittal unless directed by the Air Force.</w:t>
      </w:r>
    </w:p>
    <w:p>
      <w:pPr>
        <w:pStyle w:val="Heading1"/>
      </w:pPr>
      <w:r>
        <w:rPr>
          <w:rFonts w:ascii="Arial" w:hAnsi="Arial"/>
        </w:rPr>
        <w:t>1. Review Path and Document Status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D9EAF7"/>
            <w:vAlign w:val="center"/>
          </w:tcPr>
          <w:p>
            <w:pPr>
              <w:jc w:val="left"/>
            </w:pPr>
            <w:r/>
            <w:r>
              <w:rPr>
                <w:rFonts w:ascii="Arial" w:hAnsi="Arial"/>
                <w:b/>
                <w:sz w:val="18"/>
              </w:rPr>
              <w:t>Rule Area</w:t>
            </w:r>
          </w:p>
        </w:tc>
        <w:tc>
          <w:tcPr>
            <w:tcW w:type="dxa" w:w="3408"/>
            <w:shd w:fill="D9EAF7"/>
            <w:vAlign w:val="center"/>
          </w:tcPr>
          <w:p>
            <w:pPr>
              <w:jc w:val="left"/>
            </w:pPr>
            <w:r/>
            <w:r>
              <w:rPr>
                <w:rFonts w:ascii="Arial" w:hAnsi="Arial"/>
                <w:b/>
                <w:sz w:val="18"/>
              </w:rPr>
              <w:t>Client / Project Rule</w:t>
            </w:r>
          </w:p>
        </w:tc>
        <w:tc>
          <w:tcPr>
            <w:tcW w:type="dxa" w:w="3408"/>
            <w:shd w:fill="D9EAF7"/>
            <w:vAlign w:val="center"/>
          </w:tcPr>
          <w:p>
            <w:pPr>
              <w:jc w:val="left"/>
            </w:pPr>
            <w:r/>
            <w:r>
              <w:rPr>
                <w:rFonts w:ascii="Arial" w:hAnsi="Arial"/>
                <w:b/>
                <w:sz w:val="18"/>
              </w:rPr>
              <w:t>AMR Implementation</w:t>
            </w:r>
          </w:p>
        </w:tc>
      </w:tr>
      <w:tr>
        <w:tc>
          <w:tcPr>
            <w:tcW w:type="dxa" w:w="3408"/>
            <w:vAlign w:val="top"/>
          </w:tcPr>
          <w:p>
            <w:pPr>
              <w:jc w:val="left"/>
            </w:pPr>
            <w:r/>
            <w:r>
              <w:rPr>
                <w:rFonts w:ascii="Arial" w:hAnsi="Arial"/>
                <w:b w:val="0"/>
                <w:sz w:val="18"/>
              </w:rPr>
              <w:t>Document lifecycle</w:t>
            </w:r>
          </w:p>
        </w:tc>
        <w:tc>
          <w:tcPr>
            <w:tcW w:type="dxa" w:w="3408"/>
            <w:vAlign w:val="top"/>
          </w:tcPr>
          <w:p>
            <w:pPr>
              <w:jc w:val="left"/>
            </w:pPr>
            <w:r/>
            <w:r>
              <w:rPr>
                <w:rFonts w:ascii="Arial" w:hAnsi="Arial"/>
                <w:b w:val="0"/>
                <w:sz w:val="18"/>
              </w:rPr>
              <w:t>The review process begins with a Working Copy for Air Force review, including backchecks. After Air Force approval, the document becomes the Draft for regulator review. Following regulator comments/backcheck and approval, the document proceeds to Final.</w:t>
            </w:r>
          </w:p>
        </w:tc>
        <w:tc>
          <w:tcPr>
            <w:tcW w:type="dxa" w:w="3408"/>
            <w:vAlign w:val="top"/>
          </w:tcPr>
          <w:p>
            <w:pPr>
              <w:jc w:val="left"/>
            </w:pPr>
            <w:r/>
            <w:r>
              <w:rPr>
                <w:rFonts w:ascii="Arial" w:hAnsi="Arial"/>
                <w:b w:val="0"/>
                <w:sz w:val="18"/>
              </w:rPr>
              <w:t>Use Working Copy in the title block and file name until Air Force approval. Do not label the report Draft until the Air Force-approved version is being prepared for regulator review.</w:t>
            </w:r>
          </w:p>
        </w:tc>
      </w:tr>
      <w:tr>
        <w:tc>
          <w:tcPr>
            <w:tcW w:type="dxa" w:w="3408"/>
            <w:vAlign w:val="top"/>
          </w:tcPr>
          <w:p>
            <w:pPr>
              <w:jc w:val="left"/>
            </w:pPr>
            <w:r/>
            <w:r>
              <w:rPr>
                <w:rFonts w:ascii="Arial" w:hAnsi="Arial"/>
                <w:b w:val="0"/>
                <w:sz w:val="18"/>
              </w:rPr>
              <w:t>Backcheck handling</w:t>
            </w:r>
          </w:p>
        </w:tc>
        <w:tc>
          <w:tcPr>
            <w:tcW w:type="dxa" w:w="3408"/>
            <w:vAlign w:val="top"/>
          </w:tcPr>
          <w:p>
            <w:pPr>
              <w:jc w:val="left"/>
            </w:pPr>
            <w:r/>
            <w:r>
              <w:rPr>
                <w:rFonts w:ascii="Arial" w:hAnsi="Arial"/>
                <w:b w:val="0"/>
                <w:sz w:val="18"/>
              </w:rPr>
              <w:t>Air Force and regulator comments may require iterative backchecks.</w:t>
            </w:r>
          </w:p>
        </w:tc>
        <w:tc>
          <w:tcPr>
            <w:tcW w:type="dxa" w:w="3408"/>
            <w:vAlign w:val="top"/>
          </w:tcPr>
          <w:p>
            <w:pPr>
              <w:jc w:val="left"/>
            </w:pPr>
            <w:r/>
            <w:r>
              <w:rPr>
                <w:rFonts w:ascii="Arial" w:hAnsi="Arial"/>
                <w:b w:val="0"/>
                <w:sz w:val="18"/>
              </w:rPr>
              <w:t>Maintain a comment-response tracker in 00_AMR_Control. Preserve version names and do not overwrite transmitted versions.</w:t>
            </w:r>
          </w:p>
        </w:tc>
      </w:tr>
      <w:tr>
        <w:tc>
          <w:tcPr>
            <w:tcW w:type="dxa" w:w="3408"/>
            <w:vAlign w:val="top"/>
          </w:tcPr>
          <w:p>
            <w:pPr>
              <w:jc w:val="left"/>
            </w:pPr>
            <w:r/>
            <w:r>
              <w:rPr>
                <w:rFonts w:ascii="Arial" w:hAnsi="Arial"/>
                <w:b w:val="0"/>
                <w:sz w:val="18"/>
              </w:rPr>
              <w:t>Finalization trigger</w:t>
            </w:r>
          </w:p>
        </w:tc>
        <w:tc>
          <w:tcPr>
            <w:tcW w:type="dxa" w:w="3408"/>
            <w:vAlign w:val="top"/>
          </w:tcPr>
          <w:p>
            <w:pPr>
              <w:jc w:val="left"/>
            </w:pPr>
            <w:r/>
            <w:r>
              <w:rPr>
                <w:rFonts w:ascii="Arial" w:hAnsi="Arial"/>
                <w:b w:val="0"/>
                <w:sz w:val="18"/>
              </w:rPr>
              <w:t>Final status is appropriate only after approval/concurrence or direction to finalize.</w:t>
            </w:r>
          </w:p>
        </w:tc>
        <w:tc>
          <w:tcPr>
            <w:tcW w:type="dxa" w:w="3408"/>
            <w:vAlign w:val="top"/>
          </w:tcPr>
          <w:p>
            <w:pPr>
              <w:jc w:val="left"/>
            </w:pPr>
            <w:r/>
            <w:r>
              <w:rPr>
                <w:rFonts w:ascii="Arial" w:hAnsi="Arial"/>
                <w:b w:val="0"/>
                <w:sz w:val="18"/>
              </w:rPr>
              <w:t>Final submittal package will be assembled in 07_Submittals after approval/backcheck closure.</w:t>
            </w:r>
          </w:p>
        </w:tc>
      </w:tr>
    </w:tbl>
    <w:p>
      <w:pPr>
        <w:pStyle w:val="Heading1"/>
      </w:pPr>
      <w:r>
        <w:rPr>
          <w:rFonts w:ascii="Arial" w:hAnsi="Arial"/>
        </w:rPr>
        <w:t>2. Contract, Site Name, and Introductory Conventions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D9EAF7"/>
            <w:vAlign w:val="center"/>
          </w:tcPr>
          <w:p>
            <w:pPr>
              <w:jc w:val="left"/>
            </w:pPr>
            <w:r/>
            <w:r>
              <w:rPr>
                <w:rFonts w:ascii="Arial" w:hAnsi="Arial"/>
                <w:b/>
                <w:sz w:val="18"/>
              </w:rPr>
              <w:t>Rule Area</w:t>
            </w:r>
          </w:p>
        </w:tc>
        <w:tc>
          <w:tcPr>
            <w:tcW w:type="dxa" w:w="3408"/>
            <w:shd w:fill="D9EAF7"/>
            <w:vAlign w:val="center"/>
          </w:tcPr>
          <w:p>
            <w:pPr>
              <w:jc w:val="left"/>
            </w:pPr>
            <w:r/>
            <w:r>
              <w:rPr>
                <w:rFonts w:ascii="Arial" w:hAnsi="Arial"/>
                <w:b/>
                <w:sz w:val="18"/>
              </w:rPr>
              <w:t>Client / Project Rule</w:t>
            </w:r>
          </w:p>
        </w:tc>
        <w:tc>
          <w:tcPr>
            <w:tcW w:type="dxa" w:w="3408"/>
            <w:shd w:fill="D9EAF7"/>
            <w:vAlign w:val="center"/>
          </w:tcPr>
          <w:p>
            <w:pPr>
              <w:jc w:val="left"/>
            </w:pPr>
            <w:r/>
            <w:r>
              <w:rPr>
                <w:rFonts w:ascii="Arial" w:hAnsi="Arial"/>
                <w:b/>
                <w:sz w:val="18"/>
              </w:rPr>
              <w:t>AMR Implementation</w:t>
            </w:r>
          </w:p>
        </w:tc>
      </w:tr>
      <w:tr>
        <w:tc>
          <w:tcPr>
            <w:tcW w:type="dxa" w:w="3408"/>
            <w:vAlign w:val="top"/>
          </w:tcPr>
          <w:p>
            <w:pPr>
              <w:jc w:val="left"/>
            </w:pPr>
            <w:r/>
            <w:r>
              <w:rPr>
                <w:rFonts w:ascii="Arial" w:hAnsi="Arial"/>
                <w:b w:val="0"/>
                <w:sz w:val="18"/>
              </w:rPr>
              <w:t>Contract number</w:t>
            </w:r>
          </w:p>
        </w:tc>
        <w:tc>
          <w:tcPr>
            <w:tcW w:type="dxa" w:w="3408"/>
            <w:vAlign w:val="top"/>
          </w:tcPr>
          <w:p>
            <w:pPr>
              <w:jc w:val="left"/>
            </w:pPr>
            <w:r/>
            <w:r>
              <w:rPr>
                <w:rFonts w:ascii="Arial" w:hAnsi="Arial"/>
                <w:b w:val="0"/>
                <w:sz w:val="18"/>
              </w:rPr>
              <w:t>The introduction must include the contract number used for current RA-O support. Field forms for recent RA-O activities identify Contract Number FA8903-20-D-0003. The current Work Plan identifies Contract Number FA8903-20-D-0003 and Task Order Number 0002.</w:t>
            </w:r>
          </w:p>
        </w:tc>
        <w:tc>
          <w:tcPr>
            <w:tcW w:type="dxa" w:w="3408"/>
            <w:vAlign w:val="top"/>
          </w:tcPr>
          <w:p>
            <w:pPr>
              <w:jc w:val="left"/>
            </w:pPr>
            <w:r/>
            <w:r>
              <w:rPr>
                <w:rFonts w:ascii="Arial" w:hAnsi="Arial"/>
                <w:b w:val="0"/>
                <w:sz w:val="18"/>
              </w:rPr>
              <w:t>Include Contract Number FA8903-20-D-0003 in Section 1. Mention Task Order Number 0002 if the intro references the Work Plan as the current RA-O planning basis.</w:t>
            </w:r>
          </w:p>
        </w:tc>
      </w:tr>
      <w:tr>
        <w:tc>
          <w:tcPr>
            <w:tcW w:type="dxa" w:w="3408"/>
            <w:vAlign w:val="top"/>
          </w:tcPr>
          <w:p>
            <w:pPr>
              <w:jc w:val="left"/>
            </w:pPr>
            <w:r/>
            <w:r>
              <w:rPr>
                <w:rFonts w:ascii="Arial" w:hAnsi="Arial"/>
                <w:b w:val="0"/>
                <w:sz w:val="18"/>
              </w:rPr>
              <w:t>Site alias paragraph</w:t>
            </w:r>
          </w:p>
        </w:tc>
        <w:tc>
          <w:tcPr>
            <w:tcW w:type="dxa" w:w="3408"/>
            <w:vAlign w:val="top"/>
          </w:tcPr>
          <w:p>
            <w:pPr>
              <w:jc w:val="left"/>
            </w:pPr>
            <w:r/>
            <w:r>
              <w:rPr>
                <w:rFonts w:ascii="Arial" w:hAnsi="Arial"/>
                <w:b w:val="0"/>
                <w:sz w:val="18"/>
              </w:rPr>
              <w:t>The report must define the site naming convention up front and then use SS045 for the title and remainder of the report.</w:t>
            </w:r>
          </w:p>
        </w:tc>
        <w:tc>
          <w:tcPr>
            <w:tcW w:type="dxa" w:w="3408"/>
            <w:vAlign w:val="top"/>
          </w:tcPr>
          <w:p>
            <w:pPr>
              <w:jc w:val="left"/>
            </w:pPr>
            <w:r/>
            <w:r>
              <w:rPr>
                <w:rFonts w:ascii="Arial" w:hAnsi="Arial"/>
                <w:b w:val="0"/>
                <w:sz w:val="18"/>
              </w:rPr>
              <w:t>Use one early paragraph: “SS045 is also referred to in historical and regulatory documents as SS-45, Spill Site SS-45, SWMU 332, AOC 39, and the TCE plume. For consistency, this AMR uses SS045 after this introductory naming convention.”</w:t>
            </w:r>
          </w:p>
        </w:tc>
      </w:tr>
      <w:tr>
        <w:tc>
          <w:tcPr>
            <w:tcW w:type="dxa" w:w="3408"/>
            <w:vAlign w:val="top"/>
          </w:tcPr>
          <w:p>
            <w:pPr>
              <w:jc w:val="left"/>
            </w:pPr>
            <w:r/>
            <w:r>
              <w:rPr>
                <w:rFonts w:ascii="Arial" w:hAnsi="Arial"/>
                <w:b w:val="0"/>
                <w:sz w:val="18"/>
              </w:rPr>
              <w:t>Title convention</w:t>
            </w:r>
          </w:p>
        </w:tc>
        <w:tc>
          <w:tcPr>
            <w:tcW w:type="dxa" w:w="3408"/>
            <w:vAlign w:val="top"/>
          </w:tcPr>
          <w:p>
            <w:pPr>
              <w:jc w:val="left"/>
            </w:pPr>
            <w:r/>
            <w:r>
              <w:rPr>
                <w:rFonts w:ascii="Arial" w:hAnsi="Arial"/>
                <w:b w:val="0"/>
                <w:sz w:val="18"/>
              </w:rPr>
              <w:t>The title should use SS045, not multiple aliases.</w:t>
            </w:r>
          </w:p>
        </w:tc>
        <w:tc>
          <w:tcPr>
            <w:tcW w:type="dxa" w:w="3408"/>
            <w:vAlign w:val="top"/>
          </w:tcPr>
          <w:p>
            <w:pPr>
              <w:jc w:val="left"/>
            </w:pPr>
            <w:r/>
            <w:r>
              <w:rPr>
                <w:rFonts w:ascii="Arial" w:hAnsi="Arial"/>
                <w:b w:val="0"/>
                <w:sz w:val="18"/>
              </w:rPr>
              <w:t>Recommended title: “2025 Annual Monitoring Report, SS045, Former England Air Force Base, Alexandria, Louisiana.”</w:t>
            </w:r>
          </w:p>
        </w:tc>
      </w:tr>
      <w:tr>
        <w:tc>
          <w:tcPr>
            <w:tcW w:type="dxa" w:w="3408"/>
            <w:vAlign w:val="top"/>
          </w:tcPr>
          <w:p>
            <w:pPr>
              <w:jc w:val="left"/>
            </w:pPr>
            <w:r/>
            <w:r>
              <w:rPr>
                <w:rFonts w:ascii="Arial" w:hAnsi="Arial"/>
                <w:b w:val="0"/>
                <w:sz w:val="18"/>
              </w:rPr>
              <w:t>Site areas</w:t>
            </w:r>
          </w:p>
        </w:tc>
        <w:tc>
          <w:tcPr>
            <w:tcW w:type="dxa" w:w="3408"/>
            <w:vAlign w:val="top"/>
          </w:tcPr>
          <w:p>
            <w:pPr>
              <w:jc w:val="left"/>
            </w:pPr>
            <w:r/>
            <w:r>
              <w:rPr>
                <w:rFonts w:ascii="Arial" w:hAnsi="Arial"/>
                <w:b w:val="0"/>
                <w:sz w:val="18"/>
              </w:rPr>
              <w:t>North Apron, Tower, Central/BH-01, and Le Tig Bayou are reporting/site areas, not separate regulatory plumes.</w:t>
            </w:r>
          </w:p>
        </w:tc>
        <w:tc>
          <w:tcPr>
            <w:tcW w:type="dxa" w:w="3408"/>
            <w:vAlign w:val="top"/>
          </w:tcPr>
          <w:p>
            <w:pPr>
              <w:jc w:val="left"/>
            </w:pPr>
            <w:r/>
            <w:r>
              <w:rPr>
                <w:rFonts w:ascii="Arial" w:hAnsi="Arial"/>
                <w:b w:val="0"/>
                <w:sz w:val="18"/>
              </w:rPr>
              <w:t>Use “site areas within the SS045 plume” or “remedy-performance areas.” Avoid “four separate plumes” unless quoting historical text.</w:t>
            </w:r>
          </w:p>
        </w:tc>
      </w:tr>
    </w:tbl>
    <w:p>
      <w:pPr>
        <w:pStyle w:val="Heading1"/>
      </w:pPr>
      <w:r>
        <w:rPr>
          <w:rFonts w:ascii="Arial" w:hAnsi="Arial"/>
        </w:rPr>
        <w:t>3. Remedy and Regulatory Framing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D9EAF7"/>
            <w:vAlign w:val="center"/>
          </w:tcPr>
          <w:p>
            <w:pPr>
              <w:jc w:val="left"/>
            </w:pPr>
            <w:r/>
            <w:r>
              <w:rPr>
                <w:rFonts w:ascii="Arial" w:hAnsi="Arial"/>
                <w:b/>
                <w:sz w:val="18"/>
              </w:rPr>
              <w:t>Rule Area</w:t>
            </w:r>
          </w:p>
        </w:tc>
        <w:tc>
          <w:tcPr>
            <w:tcW w:type="dxa" w:w="3408"/>
            <w:shd w:fill="D9EAF7"/>
            <w:vAlign w:val="center"/>
          </w:tcPr>
          <w:p>
            <w:pPr>
              <w:jc w:val="left"/>
            </w:pPr>
            <w:r/>
            <w:r>
              <w:rPr>
                <w:rFonts w:ascii="Arial" w:hAnsi="Arial"/>
                <w:b/>
                <w:sz w:val="18"/>
              </w:rPr>
              <w:t>Client / Project Rule</w:t>
            </w:r>
          </w:p>
        </w:tc>
        <w:tc>
          <w:tcPr>
            <w:tcW w:type="dxa" w:w="3408"/>
            <w:shd w:fill="D9EAF7"/>
            <w:vAlign w:val="center"/>
          </w:tcPr>
          <w:p>
            <w:pPr>
              <w:jc w:val="left"/>
            </w:pPr>
            <w:r/>
            <w:r>
              <w:rPr>
                <w:rFonts w:ascii="Arial" w:hAnsi="Arial"/>
                <w:b/>
                <w:sz w:val="18"/>
              </w:rPr>
              <w:t>AMR Implementation</w:t>
            </w:r>
          </w:p>
        </w:tc>
      </w:tr>
      <w:tr>
        <w:tc>
          <w:tcPr>
            <w:tcW w:type="dxa" w:w="3408"/>
            <w:vAlign w:val="top"/>
          </w:tcPr>
          <w:p>
            <w:pPr>
              <w:jc w:val="left"/>
            </w:pPr>
            <w:r/>
            <w:r>
              <w:rPr>
                <w:rFonts w:ascii="Arial" w:hAnsi="Arial"/>
                <w:b w:val="0"/>
                <w:sz w:val="18"/>
              </w:rPr>
              <w:t>Remedy language</w:t>
            </w:r>
          </w:p>
        </w:tc>
        <w:tc>
          <w:tcPr>
            <w:tcW w:type="dxa" w:w="3408"/>
            <w:vAlign w:val="top"/>
          </w:tcPr>
          <w:p>
            <w:pPr>
              <w:jc w:val="left"/>
            </w:pPr>
            <w:r/>
            <w:r>
              <w:rPr>
                <w:rFonts w:ascii="Arial" w:hAnsi="Arial"/>
                <w:b w:val="0"/>
                <w:sz w:val="18"/>
              </w:rPr>
              <w:t>The selected remedy should be framed as MNA with LUCs. MNA alone may be used when discussing groundwater attenuation processes.</w:t>
            </w:r>
          </w:p>
        </w:tc>
        <w:tc>
          <w:tcPr>
            <w:tcW w:type="dxa" w:w="3408"/>
            <w:vAlign w:val="top"/>
          </w:tcPr>
          <w:p>
            <w:pPr>
              <w:jc w:val="left"/>
            </w:pPr>
            <w:r/>
            <w:r>
              <w:rPr>
                <w:rFonts w:ascii="Arial" w:hAnsi="Arial"/>
                <w:b w:val="0"/>
                <w:sz w:val="18"/>
              </w:rPr>
              <w:t>Use “MNA with LUCs” in the Executive Summary, Section 1, conclusions, and recommendations. Use “MNA indicators” or “MNA performance” for groundwater data interpretation.</w:t>
            </w:r>
          </w:p>
        </w:tc>
      </w:tr>
      <w:tr>
        <w:tc>
          <w:tcPr>
            <w:tcW w:type="dxa" w:w="3408"/>
            <w:vAlign w:val="top"/>
          </w:tcPr>
          <w:p>
            <w:pPr>
              <w:jc w:val="left"/>
            </w:pPr>
            <w:r/>
            <w:r>
              <w:rPr>
                <w:rFonts w:ascii="Arial" w:hAnsi="Arial"/>
                <w:b w:val="0"/>
                <w:sz w:val="18"/>
              </w:rPr>
              <w:t>Performance basis</w:t>
            </w:r>
          </w:p>
        </w:tc>
        <w:tc>
          <w:tcPr>
            <w:tcW w:type="dxa" w:w="3408"/>
            <w:vAlign w:val="top"/>
          </w:tcPr>
          <w:p>
            <w:pPr>
              <w:jc w:val="left"/>
            </w:pPr>
            <w:r/>
            <w:r>
              <w:rPr>
                <w:rFonts w:ascii="Arial" w:hAnsi="Arial"/>
                <w:b w:val="0"/>
                <w:sz w:val="18"/>
              </w:rPr>
              <w:t>The current performance comparison is based on individual COCs and BCT-CSLs, supported by trend behavior, plume stability, MNA indicators, and LUC status.</w:t>
            </w:r>
          </w:p>
        </w:tc>
        <w:tc>
          <w:tcPr>
            <w:tcW w:type="dxa" w:w="3408"/>
            <w:vAlign w:val="top"/>
          </w:tcPr>
          <w:p>
            <w:pPr>
              <w:jc w:val="left"/>
            </w:pPr>
            <w:r/>
            <w:r>
              <w:rPr>
                <w:rFonts w:ascii="Arial" w:hAnsi="Arial"/>
                <w:b w:val="0"/>
                <w:sz w:val="18"/>
              </w:rPr>
              <w:t>Do not evaluate current performance against historical well-specific interim goals unless directed by the Air Force or regulators.</w:t>
            </w:r>
          </w:p>
        </w:tc>
      </w:tr>
      <w:tr>
        <w:tc>
          <w:tcPr>
            <w:tcW w:type="dxa" w:w="3408"/>
            <w:vAlign w:val="top"/>
          </w:tcPr>
          <w:p>
            <w:pPr>
              <w:jc w:val="left"/>
            </w:pPr>
            <w:r/>
            <w:r>
              <w:rPr>
                <w:rFonts w:ascii="Arial" w:hAnsi="Arial"/>
                <w:b w:val="0"/>
                <w:sz w:val="18"/>
              </w:rPr>
              <w:t>Guidance citations</w:t>
            </w:r>
          </w:p>
        </w:tc>
        <w:tc>
          <w:tcPr>
            <w:tcW w:type="dxa" w:w="3408"/>
            <w:vAlign w:val="top"/>
          </w:tcPr>
          <w:p>
            <w:pPr>
              <w:jc w:val="left"/>
            </w:pPr>
            <w:r/>
            <w:r>
              <w:rPr>
                <w:rFonts w:ascii="Arial" w:hAnsi="Arial"/>
                <w:b w:val="0"/>
                <w:sz w:val="18"/>
              </w:rPr>
              <w:t>When EPA guidance is used to support structure or evaluation logic, cite it in the body and include it in the References chapter.</w:t>
            </w:r>
          </w:p>
        </w:tc>
        <w:tc>
          <w:tcPr>
            <w:tcW w:type="dxa" w:w="3408"/>
            <w:vAlign w:val="top"/>
          </w:tcPr>
          <w:p>
            <w:pPr>
              <w:jc w:val="left"/>
            </w:pPr>
            <w:r/>
            <w:r>
              <w:rPr>
                <w:rFonts w:ascii="Arial" w:hAnsi="Arial"/>
                <w:b w:val="0"/>
                <w:sz w:val="18"/>
              </w:rPr>
              <w:t>Use short parenthetical citations in the text. Do not add uncited guidance language.</w:t>
            </w:r>
          </w:p>
        </w:tc>
      </w:tr>
      <w:tr>
        <w:tc>
          <w:tcPr>
            <w:tcW w:type="dxa" w:w="3408"/>
            <w:vAlign w:val="top"/>
          </w:tcPr>
          <w:p>
            <w:pPr>
              <w:jc w:val="left"/>
            </w:pPr>
            <w:r/>
            <w:r>
              <w:rPr>
                <w:rFonts w:ascii="Arial" w:hAnsi="Arial"/>
                <w:b w:val="0"/>
                <w:sz w:val="18"/>
              </w:rPr>
              <w:t>Scientific tone</w:t>
            </w:r>
          </w:p>
        </w:tc>
        <w:tc>
          <w:tcPr>
            <w:tcW w:type="dxa" w:w="3408"/>
            <w:vAlign w:val="top"/>
          </w:tcPr>
          <w:p>
            <w:pPr>
              <w:jc w:val="left"/>
            </w:pPr>
            <w:r/>
            <w:r>
              <w:rPr>
                <w:rFonts w:ascii="Arial" w:hAnsi="Arial"/>
                <w:b w:val="0"/>
                <w:sz w:val="18"/>
              </w:rPr>
              <w:t>The report should be concise, scientific, and defensible. The story should be stated up front and supported by tables, figures, plates, and appendices.</w:t>
            </w:r>
          </w:p>
        </w:tc>
        <w:tc>
          <w:tcPr>
            <w:tcW w:type="dxa" w:w="3408"/>
            <w:vAlign w:val="top"/>
          </w:tcPr>
          <w:p>
            <w:pPr>
              <w:jc w:val="left"/>
            </w:pPr>
            <w:r/>
            <w:r>
              <w:rPr>
                <w:rFonts w:ascii="Arial" w:hAnsi="Arial"/>
                <w:b w:val="0"/>
                <w:sz w:val="18"/>
              </w:rPr>
              <w:t>Avoid mini-RI/CMS-style historical narrative. Use tables and plates to carry supporting evidence.</w:t>
            </w:r>
          </w:p>
        </w:tc>
      </w:tr>
    </w:tbl>
    <w:p>
      <w:pPr>
        <w:pStyle w:val="Heading1"/>
      </w:pPr>
      <w:r>
        <w:rPr>
          <w:rFonts w:ascii="Arial" w:hAnsi="Arial"/>
        </w:rPr>
        <w:t>4. Numbering Conventions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D9EAF7"/>
            <w:vAlign w:val="center"/>
          </w:tcPr>
          <w:p>
            <w:pPr>
              <w:jc w:val="left"/>
            </w:pPr>
            <w:r/>
            <w:r>
              <w:rPr>
                <w:rFonts w:ascii="Arial" w:hAnsi="Arial"/>
                <w:b/>
                <w:sz w:val="18"/>
              </w:rPr>
              <w:t>Rule Area</w:t>
            </w:r>
          </w:p>
        </w:tc>
        <w:tc>
          <w:tcPr>
            <w:tcW w:type="dxa" w:w="3408"/>
            <w:shd w:fill="D9EAF7"/>
            <w:vAlign w:val="center"/>
          </w:tcPr>
          <w:p>
            <w:pPr>
              <w:jc w:val="left"/>
            </w:pPr>
            <w:r/>
            <w:r>
              <w:rPr>
                <w:rFonts w:ascii="Arial" w:hAnsi="Arial"/>
                <w:b/>
                <w:sz w:val="18"/>
              </w:rPr>
              <w:t>Client / Project Rule</w:t>
            </w:r>
          </w:p>
        </w:tc>
        <w:tc>
          <w:tcPr>
            <w:tcW w:type="dxa" w:w="3408"/>
            <w:shd w:fill="D9EAF7"/>
            <w:vAlign w:val="center"/>
          </w:tcPr>
          <w:p>
            <w:pPr>
              <w:jc w:val="left"/>
            </w:pPr>
            <w:r/>
            <w:r>
              <w:rPr>
                <w:rFonts w:ascii="Arial" w:hAnsi="Arial"/>
                <w:b/>
                <w:sz w:val="18"/>
              </w:rPr>
              <w:t>AMR Implementation</w:t>
            </w:r>
          </w:p>
        </w:tc>
      </w:tr>
      <w:tr>
        <w:tc>
          <w:tcPr>
            <w:tcW w:type="dxa" w:w="3408"/>
            <w:vAlign w:val="top"/>
          </w:tcPr>
          <w:p>
            <w:pPr>
              <w:jc w:val="left"/>
            </w:pPr>
            <w:r/>
            <w:r>
              <w:rPr>
                <w:rFonts w:ascii="Arial" w:hAnsi="Arial"/>
                <w:b w:val="0"/>
                <w:sz w:val="18"/>
              </w:rPr>
              <w:t>Tables</w:t>
            </w:r>
          </w:p>
        </w:tc>
        <w:tc>
          <w:tcPr>
            <w:tcW w:type="dxa" w:w="3408"/>
            <w:vAlign w:val="top"/>
          </w:tcPr>
          <w:p>
            <w:pPr>
              <w:jc w:val="left"/>
            </w:pPr>
            <w:r/>
            <w:r>
              <w:rPr>
                <w:rFonts w:ascii="Arial" w:hAnsi="Arial"/>
                <w:b w:val="0"/>
                <w:sz w:val="18"/>
              </w:rPr>
              <w:t>Use chapter-sequential numbering based on first mention: Table 1-1, Table 2-1, Table 2-2, etc.</w:t>
            </w:r>
          </w:p>
        </w:tc>
        <w:tc>
          <w:tcPr>
            <w:tcW w:type="dxa" w:w="3408"/>
            <w:vAlign w:val="top"/>
          </w:tcPr>
          <w:p>
            <w:pPr>
              <w:jc w:val="left"/>
            </w:pPr>
            <w:r/>
            <w:r>
              <w:rPr>
                <w:rFonts w:ascii="Arial" w:hAnsi="Arial"/>
                <w:b w:val="0"/>
                <w:sz w:val="18"/>
              </w:rPr>
              <w:t>Renumber only after the report shell is stable. Do not use generic “Table 1” planning labels in the report.</w:t>
            </w:r>
          </w:p>
        </w:tc>
      </w:tr>
      <w:tr>
        <w:tc>
          <w:tcPr>
            <w:tcW w:type="dxa" w:w="3408"/>
            <w:vAlign w:val="top"/>
          </w:tcPr>
          <w:p>
            <w:pPr>
              <w:jc w:val="left"/>
            </w:pPr>
            <w:r/>
            <w:r>
              <w:rPr>
                <w:rFonts w:ascii="Arial" w:hAnsi="Arial"/>
                <w:b w:val="0"/>
                <w:sz w:val="18"/>
              </w:rPr>
              <w:t>Figures</w:t>
            </w:r>
          </w:p>
        </w:tc>
        <w:tc>
          <w:tcPr>
            <w:tcW w:type="dxa" w:w="3408"/>
            <w:vAlign w:val="top"/>
          </w:tcPr>
          <w:p>
            <w:pPr>
              <w:jc w:val="left"/>
            </w:pPr>
            <w:r/>
            <w:r>
              <w:rPr>
                <w:rFonts w:ascii="Arial" w:hAnsi="Arial"/>
                <w:b w:val="0"/>
                <w:sz w:val="18"/>
              </w:rPr>
              <w:t>Use chapter-sequential numbering based on first mention: Figure 1-1, Figure 2-1, etc.</w:t>
            </w:r>
          </w:p>
        </w:tc>
        <w:tc>
          <w:tcPr>
            <w:tcW w:type="dxa" w:w="3408"/>
            <w:vAlign w:val="top"/>
          </w:tcPr>
          <w:p>
            <w:pPr>
              <w:jc w:val="left"/>
            </w:pPr>
            <w:r/>
            <w:r>
              <w:rPr>
                <w:rFonts w:ascii="Arial" w:hAnsi="Arial"/>
                <w:b w:val="0"/>
                <w:sz w:val="18"/>
              </w:rPr>
              <w:t>Use combined/decision-focused figures in the main report. Detailed analyte maps may be appendix support if needed.</w:t>
            </w:r>
          </w:p>
        </w:tc>
      </w:tr>
      <w:tr>
        <w:tc>
          <w:tcPr>
            <w:tcW w:type="dxa" w:w="3408"/>
            <w:vAlign w:val="top"/>
          </w:tcPr>
          <w:p>
            <w:pPr>
              <w:jc w:val="left"/>
            </w:pPr>
            <w:r/>
            <w:r>
              <w:rPr>
                <w:rFonts w:ascii="Arial" w:hAnsi="Arial"/>
                <w:b w:val="0"/>
                <w:sz w:val="18"/>
              </w:rPr>
              <w:t>Plates</w:t>
            </w:r>
          </w:p>
        </w:tc>
        <w:tc>
          <w:tcPr>
            <w:tcW w:type="dxa" w:w="3408"/>
            <w:vAlign w:val="top"/>
          </w:tcPr>
          <w:p>
            <w:pPr>
              <w:jc w:val="left"/>
            </w:pPr>
            <w:r/>
            <w:r>
              <w:rPr>
                <w:rFonts w:ascii="Arial" w:hAnsi="Arial"/>
                <w:b w:val="0"/>
                <w:sz w:val="18"/>
              </w:rPr>
              <w:t>Use appendix plate numbering for trend plates, e.g., Plate D-1, Plate D-2.</w:t>
            </w:r>
          </w:p>
        </w:tc>
        <w:tc>
          <w:tcPr>
            <w:tcW w:type="dxa" w:w="3408"/>
            <w:vAlign w:val="top"/>
          </w:tcPr>
          <w:p>
            <w:pPr>
              <w:jc w:val="left"/>
            </w:pPr>
            <w:r/>
            <w:r>
              <w:rPr>
                <w:rFonts w:ascii="Arial" w:hAnsi="Arial"/>
                <w:b w:val="0"/>
                <w:sz w:val="18"/>
              </w:rPr>
              <w:t>Trend plates should be placed in Appendix D unless the Air Force requests main-report placement.</w:t>
            </w:r>
          </w:p>
        </w:tc>
      </w:tr>
      <w:tr>
        <w:tc>
          <w:tcPr>
            <w:tcW w:type="dxa" w:w="3408"/>
            <w:vAlign w:val="top"/>
          </w:tcPr>
          <w:p>
            <w:pPr>
              <w:jc w:val="left"/>
            </w:pPr>
            <w:r/>
            <w:r>
              <w:rPr>
                <w:rFonts w:ascii="Arial" w:hAnsi="Arial"/>
                <w:b w:val="0"/>
                <w:sz w:val="18"/>
              </w:rPr>
              <w:t>Appendices</w:t>
            </w:r>
          </w:p>
        </w:tc>
        <w:tc>
          <w:tcPr>
            <w:tcW w:type="dxa" w:w="3408"/>
            <w:vAlign w:val="top"/>
          </w:tcPr>
          <w:p>
            <w:pPr>
              <w:jc w:val="left"/>
            </w:pPr>
            <w:r/>
            <w:r>
              <w:rPr>
                <w:rFonts w:ascii="Arial" w:hAnsi="Arial"/>
                <w:b w:val="0"/>
                <w:sz w:val="18"/>
              </w:rPr>
              <w:t>Use simple appendix letters and clear titles.</w:t>
            </w:r>
          </w:p>
        </w:tc>
        <w:tc>
          <w:tcPr>
            <w:tcW w:type="dxa" w:w="3408"/>
            <w:vAlign w:val="top"/>
          </w:tcPr>
          <w:p>
            <w:pPr>
              <w:jc w:val="left"/>
            </w:pPr>
            <w:r/>
            <w:r>
              <w:rPr>
                <w:rFonts w:ascii="Arial" w:hAnsi="Arial"/>
                <w:b w:val="0"/>
                <w:sz w:val="18"/>
              </w:rPr>
              <w:t>Recommended: Appendix A Field Documentation; Appendix B Analytical Reports; Appendix C DUVR/DUSR; Appendix D Historical Data and Trend Evaluation.</w:t>
            </w:r>
          </w:p>
        </w:tc>
      </w:tr>
    </w:tbl>
    <w:p>
      <w:pPr>
        <w:pStyle w:val="Heading1"/>
      </w:pPr>
      <w:r>
        <w:rPr>
          <w:rFonts w:ascii="Arial" w:hAnsi="Arial"/>
        </w:rPr>
        <w:t>5. Standalone Table Rules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D9EAF7"/>
            <w:vAlign w:val="center"/>
          </w:tcPr>
          <w:p>
            <w:pPr>
              <w:jc w:val="left"/>
            </w:pPr>
            <w:r/>
            <w:r>
              <w:rPr>
                <w:rFonts w:ascii="Arial" w:hAnsi="Arial"/>
                <w:b/>
                <w:sz w:val="18"/>
              </w:rPr>
              <w:t>Rule Area</w:t>
            </w:r>
          </w:p>
        </w:tc>
        <w:tc>
          <w:tcPr>
            <w:tcW w:type="dxa" w:w="3408"/>
            <w:shd w:fill="D9EAF7"/>
            <w:vAlign w:val="center"/>
          </w:tcPr>
          <w:p>
            <w:pPr>
              <w:jc w:val="left"/>
            </w:pPr>
            <w:r/>
            <w:r>
              <w:rPr>
                <w:rFonts w:ascii="Arial" w:hAnsi="Arial"/>
                <w:b/>
                <w:sz w:val="18"/>
              </w:rPr>
              <w:t>Client / Project Rule</w:t>
            </w:r>
          </w:p>
        </w:tc>
        <w:tc>
          <w:tcPr>
            <w:tcW w:type="dxa" w:w="3408"/>
            <w:shd w:fill="D9EAF7"/>
            <w:vAlign w:val="center"/>
          </w:tcPr>
          <w:p>
            <w:pPr>
              <w:jc w:val="left"/>
            </w:pPr>
            <w:r/>
            <w:r>
              <w:rPr>
                <w:rFonts w:ascii="Arial" w:hAnsi="Arial"/>
                <w:b/>
                <w:sz w:val="18"/>
              </w:rPr>
              <w:t>AMR Implementation</w:t>
            </w:r>
          </w:p>
        </w:tc>
      </w:tr>
      <w:tr>
        <w:tc>
          <w:tcPr>
            <w:tcW w:type="dxa" w:w="3408"/>
            <w:vAlign w:val="top"/>
          </w:tcPr>
          <w:p>
            <w:pPr>
              <w:jc w:val="left"/>
            </w:pPr>
            <w:r/>
            <w:r>
              <w:rPr>
                <w:rFonts w:ascii="Arial" w:hAnsi="Arial"/>
                <w:b w:val="0"/>
                <w:sz w:val="18"/>
              </w:rPr>
              <w:t>Standalone requirement</w:t>
            </w:r>
          </w:p>
        </w:tc>
        <w:tc>
          <w:tcPr>
            <w:tcW w:type="dxa" w:w="3408"/>
            <w:vAlign w:val="top"/>
          </w:tcPr>
          <w:p>
            <w:pPr>
              <w:jc w:val="left"/>
            </w:pPr>
            <w:r/>
            <w:r>
              <w:rPr>
                <w:rFonts w:ascii="Arial" w:hAnsi="Arial"/>
                <w:b w:val="0"/>
                <w:sz w:val="18"/>
              </w:rPr>
              <w:t>Tables must be understandable independent of report text.</w:t>
            </w:r>
          </w:p>
        </w:tc>
        <w:tc>
          <w:tcPr>
            <w:tcW w:type="dxa" w:w="3408"/>
            <w:vAlign w:val="top"/>
          </w:tcPr>
          <w:p>
            <w:pPr>
              <w:jc w:val="left"/>
            </w:pPr>
            <w:r/>
            <w:r>
              <w:rPr>
                <w:rFonts w:ascii="Arial" w:hAnsi="Arial"/>
                <w:b w:val="0"/>
                <w:sz w:val="18"/>
              </w:rPr>
              <w:t>Each table must include page numbers/footers, table number, full title, site name, report name, units, notes, acronym definitions, data-source note, and qualifier conventions where applicable.</w:t>
            </w:r>
          </w:p>
        </w:tc>
      </w:tr>
      <w:tr>
        <w:tc>
          <w:tcPr>
            <w:tcW w:type="dxa" w:w="3408"/>
            <w:vAlign w:val="top"/>
          </w:tcPr>
          <w:p>
            <w:pPr>
              <w:jc w:val="left"/>
            </w:pPr>
            <w:r/>
            <w:r>
              <w:rPr>
                <w:rFonts w:ascii="Arial" w:hAnsi="Arial"/>
                <w:b w:val="0"/>
                <w:sz w:val="18"/>
              </w:rPr>
              <w:t>Notes and acronyms</w:t>
            </w:r>
          </w:p>
        </w:tc>
        <w:tc>
          <w:tcPr>
            <w:tcW w:type="dxa" w:w="3408"/>
            <w:vAlign w:val="top"/>
          </w:tcPr>
          <w:p>
            <w:pPr>
              <w:jc w:val="left"/>
            </w:pPr>
            <w:r/>
            <w:r>
              <w:rPr>
                <w:rFonts w:ascii="Arial" w:hAnsi="Arial"/>
                <w:b w:val="0"/>
                <w:sz w:val="18"/>
              </w:rPr>
              <w:t>All table-specific acronyms and abbreviations must be defined on the table even if defined elsewhere in the AMR.</w:t>
            </w:r>
          </w:p>
        </w:tc>
        <w:tc>
          <w:tcPr>
            <w:tcW w:type="dxa" w:w="3408"/>
            <w:vAlign w:val="top"/>
          </w:tcPr>
          <w:p>
            <w:pPr>
              <w:jc w:val="left"/>
            </w:pPr>
            <w:r/>
            <w:r>
              <w:rPr>
                <w:rFonts w:ascii="Arial" w:hAnsi="Arial"/>
                <w:b w:val="0"/>
                <w:sz w:val="18"/>
              </w:rPr>
              <w:t>Include notes for A, B, J, U, UJ, ND/NS/NA, BCT-CSL, COC, MNA, RA-O, etc., as applicable.</w:t>
            </w:r>
          </w:p>
        </w:tc>
      </w:tr>
      <w:tr>
        <w:tc>
          <w:tcPr>
            <w:tcW w:type="dxa" w:w="3408"/>
            <w:vAlign w:val="top"/>
          </w:tcPr>
          <w:p>
            <w:pPr>
              <w:jc w:val="left"/>
            </w:pPr>
            <w:r/>
            <w:r>
              <w:rPr>
                <w:rFonts w:ascii="Arial" w:hAnsi="Arial"/>
                <w:b w:val="0"/>
                <w:sz w:val="18"/>
              </w:rPr>
              <w:t>Exceedance formatting</w:t>
            </w:r>
          </w:p>
        </w:tc>
        <w:tc>
          <w:tcPr>
            <w:tcW w:type="dxa" w:w="3408"/>
            <w:vAlign w:val="top"/>
          </w:tcPr>
          <w:p>
            <w:pPr>
              <w:jc w:val="left"/>
            </w:pPr>
            <w:r/>
            <w:r>
              <w:rPr>
                <w:rFonts w:ascii="Arial" w:hAnsi="Arial"/>
                <w:b w:val="0"/>
                <w:sz w:val="18"/>
              </w:rPr>
              <w:t>Tables should be clear in black-and-white printing.</w:t>
            </w:r>
          </w:p>
        </w:tc>
        <w:tc>
          <w:tcPr>
            <w:tcW w:type="dxa" w:w="3408"/>
            <w:vAlign w:val="top"/>
          </w:tcPr>
          <w:p>
            <w:pPr>
              <w:jc w:val="left"/>
            </w:pPr>
            <w:r/>
            <w:r>
              <w:rPr>
                <w:rFonts w:ascii="Arial" w:hAnsi="Arial"/>
                <w:b w:val="0"/>
                <w:sz w:val="18"/>
              </w:rPr>
              <w:t>Use bold font for exceedances. Use restrained fill/shading only for headers or status flags. Do not rely only on color.</w:t>
            </w:r>
          </w:p>
        </w:tc>
      </w:tr>
      <w:tr>
        <w:tc>
          <w:tcPr>
            <w:tcW w:type="dxa" w:w="3408"/>
            <w:vAlign w:val="top"/>
          </w:tcPr>
          <w:p>
            <w:pPr>
              <w:jc w:val="left"/>
            </w:pPr>
            <w:r/>
            <w:r>
              <w:rPr>
                <w:rFonts w:ascii="Arial" w:hAnsi="Arial"/>
                <w:b w:val="0"/>
                <w:sz w:val="18"/>
              </w:rPr>
              <w:t>Data qualifiers</w:t>
            </w:r>
          </w:p>
        </w:tc>
        <w:tc>
          <w:tcPr>
            <w:tcW w:type="dxa" w:w="3408"/>
            <w:vAlign w:val="top"/>
          </w:tcPr>
          <w:p>
            <w:pPr>
              <w:jc w:val="left"/>
            </w:pPr>
            <w:r/>
            <w:r>
              <w:rPr>
                <w:rFonts w:ascii="Arial" w:hAnsi="Arial"/>
                <w:b w:val="0"/>
                <w:sz w:val="18"/>
              </w:rPr>
              <w:t>Laboratory qualifiers must be retained where results are reported.</w:t>
            </w:r>
          </w:p>
        </w:tc>
        <w:tc>
          <w:tcPr>
            <w:tcW w:type="dxa" w:w="3408"/>
            <w:vAlign w:val="top"/>
          </w:tcPr>
          <w:p>
            <w:pPr>
              <w:jc w:val="left"/>
            </w:pPr>
            <w:r/>
            <w:r>
              <w:rPr>
                <w:rFonts w:ascii="Arial" w:hAnsi="Arial"/>
                <w:b w:val="0"/>
                <w:sz w:val="18"/>
              </w:rPr>
              <w:t>Use original qualifier notation. Explain only qualifiers that affect AMR interpretation in the main data-usability table.</w:t>
            </w:r>
          </w:p>
        </w:tc>
      </w:tr>
      <w:tr>
        <w:tc>
          <w:tcPr>
            <w:tcW w:type="dxa" w:w="3408"/>
            <w:vAlign w:val="top"/>
          </w:tcPr>
          <w:p>
            <w:pPr>
              <w:jc w:val="left"/>
            </w:pPr>
            <w:r/>
            <w:r>
              <w:rPr>
                <w:rFonts w:ascii="Arial" w:hAnsi="Arial"/>
                <w:b w:val="0"/>
                <w:sz w:val="18"/>
              </w:rPr>
              <w:t>Nondetects</w:t>
            </w:r>
          </w:p>
        </w:tc>
        <w:tc>
          <w:tcPr>
            <w:tcW w:type="dxa" w:w="3408"/>
            <w:vAlign w:val="top"/>
          </w:tcPr>
          <w:p>
            <w:pPr>
              <w:jc w:val="left"/>
            </w:pPr>
            <w:r/>
            <w:r>
              <w:rPr>
                <w:rFonts w:ascii="Arial" w:hAnsi="Arial"/>
                <w:b w:val="0"/>
                <w:sz w:val="18"/>
              </w:rPr>
              <w:t>Do not convert nondetects to zero in report tables.</w:t>
            </w:r>
          </w:p>
        </w:tc>
        <w:tc>
          <w:tcPr>
            <w:tcW w:type="dxa" w:w="3408"/>
            <w:vAlign w:val="top"/>
          </w:tcPr>
          <w:p>
            <w:pPr>
              <w:jc w:val="left"/>
            </w:pPr>
            <w:r/>
            <w:r>
              <w:rPr>
                <w:rFonts w:ascii="Arial" w:hAnsi="Arial"/>
                <w:b w:val="0"/>
                <w:sz w:val="18"/>
              </w:rPr>
              <w:t>Show nondetects as reported, e.g., “0.5 U.” If plotting conventions differ, explain them in Appendix D.</w:t>
            </w:r>
          </w:p>
        </w:tc>
      </w:tr>
      <w:tr>
        <w:tc>
          <w:tcPr>
            <w:tcW w:type="dxa" w:w="3408"/>
            <w:vAlign w:val="top"/>
          </w:tcPr>
          <w:p>
            <w:pPr>
              <w:jc w:val="left"/>
            </w:pPr>
            <w:r/>
            <w:r>
              <w:rPr>
                <w:rFonts w:ascii="Arial" w:hAnsi="Arial"/>
                <w:b w:val="0"/>
                <w:sz w:val="18"/>
              </w:rPr>
              <w:t>Screening-level equality</w:t>
            </w:r>
          </w:p>
        </w:tc>
        <w:tc>
          <w:tcPr>
            <w:tcW w:type="dxa" w:w="3408"/>
            <w:vAlign w:val="top"/>
          </w:tcPr>
          <w:p>
            <w:pPr>
              <w:jc w:val="left"/>
            </w:pPr>
            <w:r/>
            <w:r>
              <w:rPr>
                <w:rFonts w:ascii="Arial" w:hAnsi="Arial"/>
                <w:b w:val="0"/>
                <w:sz w:val="18"/>
              </w:rPr>
              <w:t>Results equal to a BCT-CSL should be described as “at BCT-CSL,” not an exceedance, unless the project convention requires otherwise.</w:t>
            </w:r>
          </w:p>
        </w:tc>
        <w:tc>
          <w:tcPr>
            <w:tcW w:type="dxa" w:w="3408"/>
            <w:vAlign w:val="top"/>
          </w:tcPr>
          <w:p>
            <w:pPr>
              <w:jc w:val="left"/>
            </w:pPr>
            <w:r/>
            <w:r>
              <w:rPr>
                <w:rFonts w:ascii="Arial" w:hAnsi="Arial"/>
                <w:b w:val="0"/>
                <w:sz w:val="18"/>
              </w:rPr>
              <w:t>Apply this rule consistently, especially for VC at 2.0 µg/L.</w:t>
            </w:r>
          </w:p>
        </w:tc>
      </w:tr>
    </w:tbl>
    <w:p>
      <w:pPr>
        <w:pStyle w:val="Heading1"/>
      </w:pPr>
      <w:r>
        <w:rPr>
          <w:rFonts w:ascii="Arial" w:hAnsi="Arial"/>
        </w:rPr>
        <w:t>6. Figure, Plate, and Appendix Rules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D9EAF7"/>
            <w:vAlign w:val="center"/>
          </w:tcPr>
          <w:p>
            <w:pPr>
              <w:jc w:val="left"/>
            </w:pPr>
            <w:r/>
            <w:r>
              <w:rPr>
                <w:rFonts w:ascii="Arial" w:hAnsi="Arial"/>
                <w:b/>
                <w:sz w:val="18"/>
              </w:rPr>
              <w:t>Rule Area</w:t>
            </w:r>
          </w:p>
        </w:tc>
        <w:tc>
          <w:tcPr>
            <w:tcW w:type="dxa" w:w="3408"/>
            <w:shd w:fill="D9EAF7"/>
            <w:vAlign w:val="center"/>
          </w:tcPr>
          <w:p>
            <w:pPr>
              <w:jc w:val="left"/>
            </w:pPr>
            <w:r/>
            <w:r>
              <w:rPr>
                <w:rFonts w:ascii="Arial" w:hAnsi="Arial"/>
                <w:b/>
                <w:sz w:val="18"/>
              </w:rPr>
              <w:t>Client / Project Rule</w:t>
            </w:r>
          </w:p>
        </w:tc>
        <w:tc>
          <w:tcPr>
            <w:tcW w:type="dxa" w:w="3408"/>
            <w:shd w:fill="D9EAF7"/>
            <w:vAlign w:val="center"/>
          </w:tcPr>
          <w:p>
            <w:pPr>
              <w:jc w:val="left"/>
            </w:pPr>
            <w:r/>
            <w:r>
              <w:rPr>
                <w:rFonts w:ascii="Arial" w:hAnsi="Arial"/>
                <w:b/>
                <w:sz w:val="18"/>
              </w:rPr>
              <w:t>AMR Implementation</w:t>
            </w:r>
          </w:p>
        </w:tc>
      </w:tr>
      <w:tr>
        <w:tc>
          <w:tcPr>
            <w:tcW w:type="dxa" w:w="3408"/>
            <w:vAlign w:val="top"/>
          </w:tcPr>
          <w:p>
            <w:pPr>
              <w:jc w:val="left"/>
            </w:pPr>
            <w:r/>
            <w:r>
              <w:rPr>
                <w:rFonts w:ascii="Arial" w:hAnsi="Arial"/>
                <w:b w:val="0"/>
                <w:sz w:val="18"/>
              </w:rPr>
              <w:t>Figures</w:t>
            </w:r>
          </w:p>
        </w:tc>
        <w:tc>
          <w:tcPr>
            <w:tcW w:type="dxa" w:w="3408"/>
            <w:vAlign w:val="top"/>
          </w:tcPr>
          <w:p>
            <w:pPr>
              <w:jc w:val="left"/>
            </w:pPr>
            <w:r/>
            <w:r>
              <w:rPr>
                <w:rFonts w:ascii="Arial" w:hAnsi="Arial"/>
                <w:b w:val="0"/>
                <w:sz w:val="18"/>
              </w:rPr>
              <w:t>Figures must be standalone technical figures.</w:t>
            </w:r>
          </w:p>
        </w:tc>
        <w:tc>
          <w:tcPr>
            <w:tcW w:type="dxa" w:w="3408"/>
            <w:vAlign w:val="top"/>
          </w:tcPr>
          <w:p>
            <w:pPr>
              <w:jc w:val="left"/>
            </w:pPr>
            <w:r/>
            <w:r>
              <w:rPr>
                <w:rFonts w:ascii="Arial" w:hAnsi="Arial"/>
                <w:b w:val="0"/>
                <w:sz w:val="18"/>
              </w:rPr>
              <w:t>Each figure must include figure number, title, site name, report name/year, scale, north arrow where applicable, coordinate system/datum, legend, notes, revision date, and source credits.</w:t>
            </w:r>
          </w:p>
        </w:tc>
      </w:tr>
      <w:tr>
        <w:tc>
          <w:tcPr>
            <w:tcW w:type="dxa" w:w="3408"/>
            <w:vAlign w:val="top"/>
          </w:tcPr>
          <w:p>
            <w:pPr>
              <w:jc w:val="left"/>
            </w:pPr>
            <w:r/>
            <w:r>
              <w:rPr>
                <w:rFonts w:ascii="Arial" w:hAnsi="Arial"/>
                <w:b w:val="0"/>
                <w:sz w:val="18"/>
              </w:rPr>
              <w:t>Trend plates</w:t>
            </w:r>
          </w:p>
        </w:tc>
        <w:tc>
          <w:tcPr>
            <w:tcW w:type="dxa" w:w="3408"/>
            <w:vAlign w:val="top"/>
          </w:tcPr>
          <w:p>
            <w:pPr>
              <w:jc w:val="left"/>
            </w:pPr>
            <w:r/>
            <w:r>
              <w:rPr>
                <w:rFonts w:ascii="Arial" w:hAnsi="Arial"/>
                <w:b w:val="0"/>
                <w:sz w:val="18"/>
              </w:rPr>
              <w:t>Trend plates should maximize scientific interpretation while remaining readable on 11x17 landscape.</w:t>
            </w:r>
          </w:p>
        </w:tc>
        <w:tc>
          <w:tcPr>
            <w:tcW w:type="dxa" w:w="3408"/>
            <w:vAlign w:val="top"/>
          </w:tcPr>
          <w:p>
            <w:pPr>
              <w:jc w:val="left"/>
            </w:pPr>
            <w:r/>
            <w:r>
              <w:rPr>
                <w:rFonts w:ascii="Arial" w:hAnsi="Arial"/>
                <w:b w:val="0"/>
                <w:sz w:val="18"/>
              </w:rPr>
              <w:t>Each plate should include well ID, site area, zone, well role, current recommendation, VOC trend plot, BCT-CSL reference lines, groundwater/precipitation context if useful, last three events table, and a concise interpretation box.</w:t>
            </w:r>
          </w:p>
        </w:tc>
      </w:tr>
      <w:tr>
        <w:tc>
          <w:tcPr>
            <w:tcW w:type="dxa" w:w="3408"/>
            <w:vAlign w:val="top"/>
          </w:tcPr>
          <w:p>
            <w:pPr>
              <w:jc w:val="left"/>
            </w:pPr>
            <w:r/>
            <w:r>
              <w:rPr>
                <w:rFonts w:ascii="Arial" w:hAnsi="Arial"/>
                <w:b w:val="0"/>
                <w:sz w:val="18"/>
              </w:rPr>
              <w:t>Appendices</w:t>
            </w:r>
          </w:p>
        </w:tc>
        <w:tc>
          <w:tcPr>
            <w:tcW w:type="dxa" w:w="3408"/>
            <w:vAlign w:val="top"/>
          </w:tcPr>
          <w:p>
            <w:pPr>
              <w:jc w:val="left"/>
            </w:pPr>
            <w:r/>
            <w:r>
              <w:rPr>
                <w:rFonts w:ascii="Arial" w:hAnsi="Arial"/>
                <w:b w:val="0"/>
                <w:sz w:val="18"/>
              </w:rPr>
              <w:t>Appendices are supplemental but must remain auditable and self-contained.</w:t>
            </w:r>
          </w:p>
        </w:tc>
        <w:tc>
          <w:tcPr>
            <w:tcW w:type="dxa" w:w="3408"/>
            <w:vAlign w:val="top"/>
          </w:tcPr>
          <w:p>
            <w:pPr>
              <w:jc w:val="left"/>
            </w:pPr>
            <w:r/>
            <w:r>
              <w:rPr>
                <w:rFonts w:ascii="Arial" w:hAnsi="Arial"/>
                <w:b w:val="0"/>
                <w:sz w:val="18"/>
              </w:rPr>
              <w:t>Each appendix should have a cover page, content list if needed, and brief note explaining what the appendix supports. Do not include unrelated LF015/PFAS material unless directly relevant to SS045.</w:t>
            </w:r>
          </w:p>
        </w:tc>
      </w:tr>
    </w:tbl>
    <w:p>
      <w:pPr>
        <w:pStyle w:val="Heading1"/>
      </w:pPr>
      <w:r>
        <w:rPr>
          <w:rFonts w:ascii="Arial" w:hAnsi="Arial"/>
        </w:rPr>
        <w:t>7. Data and Interpretation Rules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D9EAF7"/>
            <w:vAlign w:val="center"/>
          </w:tcPr>
          <w:p>
            <w:pPr>
              <w:jc w:val="left"/>
            </w:pPr>
            <w:r/>
            <w:r>
              <w:rPr>
                <w:rFonts w:ascii="Arial" w:hAnsi="Arial"/>
                <w:b/>
                <w:sz w:val="18"/>
              </w:rPr>
              <w:t>Rule Area</w:t>
            </w:r>
          </w:p>
        </w:tc>
        <w:tc>
          <w:tcPr>
            <w:tcW w:type="dxa" w:w="3408"/>
            <w:shd w:fill="D9EAF7"/>
            <w:vAlign w:val="center"/>
          </w:tcPr>
          <w:p>
            <w:pPr>
              <w:jc w:val="left"/>
            </w:pPr>
            <w:r/>
            <w:r>
              <w:rPr>
                <w:rFonts w:ascii="Arial" w:hAnsi="Arial"/>
                <w:b/>
                <w:sz w:val="18"/>
              </w:rPr>
              <w:t>Client / Project Rule</w:t>
            </w:r>
          </w:p>
        </w:tc>
        <w:tc>
          <w:tcPr>
            <w:tcW w:type="dxa" w:w="3408"/>
            <w:shd w:fill="D9EAF7"/>
            <w:vAlign w:val="center"/>
          </w:tcPr>
          <w:p>
            <w:pPr>
              <w:jc w:val="left"/>
            </w:pPr>
            <w:r/>
            <w:r>
              <w:rPr>
                <w:rFonts w:ascii="Arial" w:hAnsi="Arial"/>
                <w:b/>
                <w:sz w:val="18"/>
              </w:rPr>
              <w:t>AMR Implementation</w:t>
            </w:r>
          </w:p>
        </w:tc>
      </w:tr>
      <w:tr>
        <w:tc>
          <w:tcPr>
            <w:tcW w:type="dxa" w:w="3408"/>
            <w:vAlign w:val="top"/>
          </w:tcPr>
          <w:p>
            <w:pPr>
              <w:jc w:val="left"/>
            </w:pPr>
            <w:r/>
            <w:r>
              <w:rPr>
                <w:rFonts w:ascii="Arial" w:hAnsi="Arial"/>
                <w:b w:val="0"/>
                <w:sz w:val="18"/>
              </w:rPr>
              <w:t>MNA interpretation</w:t>
            </w:r>
          </w:p>
        </w:tc>
        <w:tc>
          <w:tcPr>
            <w:tcW w:type="dxa" w:w="3408"/>
            <w:vAlign w:val="top"/>
          </w:tcPr>
          <w:p>
            <w:pPr>
              <w:jc w:val="left"/>
            </w:pPr>
            <w:r/>
            <w:r>
              <w:rPr>
                <w:rFonts w:ascii="Arial" w:hAnsi="Arial"/>
                <w:b w:val="0"/>
                <w:sz w:val="18"/>
              </w:rPr>
              <w:t>Do not overstate MNA performance from geochemistry alone.</w:t>
            </w:r>
          </w:p>
        </w:tc>
        <w:tc>
          <w:tcPr>
            <w:tcW w:type="dxa" w:w="3408"/>
            <w:vAlign w:val="top"/>
          </w:tcPr>
          <w:p>
            <w:pPr>
              <w:jc w:val="left"/>
            </w:pPr>
            <w:r/>
            <w:r>
              <w:rPr>
                <w:rFonts w:ascii="Arial" w:hAnsi="Arial"/>
                <w:b w:val="0"/>
                <w:sz w:val="18"/>
              </w:rPr>
              <w:t>Separate process evidence from performance evidence: reducing conditions/daughter products indicate attenuation processes; trends and exceedance status demonstrate remedy performance.</w:t>
            </w:r>
          </w:p>
        </w:tc>
      </w:tr>
      <w:tr>
        <w:tc>
          <w:tcPr>
            <w:tcW w:type="dxa" w:w="3408"/>
            <w:vAlign w:val="top"/>
          </w:tcPr>
          <w:p>
            <w:pPr>
              <w:jc w:val="left"/>
            </w:pPr>
            <w:r/>
            <w:r>
              <w:rPr>
                <w:rFonts w:ascii="Arial" w:hAnsi="Arial"/>
                <w:b w:val="0"/>
                <w:sz w:val="18"/>
              </w:rPr>
              <w:t>North Apron focus</w:t>
            </w:r>
          </w:p>
        </w:tc>
        <w:tc>
          <w:tcPr>
            <w:tcW w:type="dxa" w:w="3408"/>
            <w:vAlign w:val="top"/>
          </w:tcPr>
          <w:p>
            <w:pPr>
              <w:jc w:val="left"/>
            </w:pPr>
            <w:r/>
            <w:r>
              <w:rPr>
                <w:rFonts w:ascii="Arial" w:hAnsi="Arial"/>
                <w:b w:val="0"/>
                <w:sz w:val="18"/>
              </w:rPr>
              <w:t>North Apron remains the principal long-term remedy-performance area, but the 2025 AMR must address all 2025 exceedance areas.</w:t>
            </w:r>
          </w:p>
        </w:tc>
        <w:tc>
          <w:tcPr>
            <w:tcW w:type="dxa" w:w="3408"/>
            <w:vAlign w:val="top"/>
          </w:tcPr>
          <w:p>
            <w:pPr>
              <w:jc w:val="left"/>
            </w:pPr>
            <w:r/>
            <w:r>
              <w:rPr>
                <w:rFonts w:ascii="Arial" w:hAnsi="Arial"/>
                <w:b w:val="0"/>
                <w:sz w:val="18"/>
              </w:rPr>
              <w:t>Use the exceedance summary table to control which areas are discussed.</w:t>
            </w:r>
          </w:p>
        </w:tc>
      </w:tr>
      <w:tr>
        <w:tc>
          <w:tcPr>
            <w:tcW w:type="dxa" w:w="3408"/>
            <w:vAlign w:val="top"/>
          </w:tcPr>
          <w:p>
            <w:pPr>
              <w:jc w:val="left"/>
            </w:pPr>
            <w:r/>
            <w:r>
              <w:rPr>
                <w:rFonts w:ascii="Arial" w:hAnsi="Arial"/>
                <w:b w:val="0"/>
                <w:sz w:val="18"/>
              </w:rPr>
              <w:t>A39MW097</w:t>
            </w:r>
          </w:p>
        </w:tc>
        <w:tc>
          <w:tcPr>
            <w:tcW w:type="dxa" w:w="3408"/>
            <w:vAlign w:val="top"/>
          </w:tcPr>
          <w:p>
            <w:pPr>
              <w:jc w:val="left"/>
            </w:pPr>
            <w:r/>
            <w:r>
              <w:rPr>
                <w:rFonts w:ascii="Arial" w:hAnsi="Arial"/>
                <w:b w:val="0"/>
                <w:sz w:val="18"/>
              </w:rPr>
              <w:t>A39MW097 should be treated as a monitoring-network field exception, not a remedy-performance issue.</w:t>
            </w:r>
          </w:p>
        </w:tc>
        <w:tc>
          <w:tcPr>
            <w:tcW w:type="dxa" w:w="3408"/>
            <w:vAlign w:val="top"/>
          </w:tcPr>
          <w:p>
            <w:pPr>
              <w:jc w:val="left"/>
            </w:pPr>
            <w:r/>
            <w:r>
              <w:rPr>
                <w:rFonts w:ascii="Arial" w:hAnsi="Arial"/>
                <w:b w:val="0"/>
                <w:sz w:val="18"/>
              </w:rPr>
              <w:t>Document that the well was not found in the field and recommend confirming status/location before replacement, abandonment documentation, or removal.</w:t>
            </w:r>
          </w:p>
        </w:tc>
      </w:tr>
      <w:tr>
        <w:tc>
          <w:tcPr>
            <w:tcW w:type="dxa" w:w="3408"/>
            <w:vAlign w:val="top"/>
          </w:tcPr>
          <w:p>
            <w:pPr>
              <w:jc w:val="left"/>
            </w:pPr>
            <w:r/>
            <w:r>
              <w:rPr>
                <w:rFonts w:ascii="Arial" w:hAnsi="Arial"/>
                <w:b w:val="0"/>
                <w:sz w:val="18"/>
              </w:rPr>
              <w:t>A39L009PZ</w:t>
            </w:r>
          </w:p>
        </w:tc>
        <w:tc>
          <w:tcPr>
            <w:tcW w:type="dxa" w:w="3408"/>
            <w:vAlign w:val="top"/>
          </w:tcPr>
          <w:p>
            <w:pPr>
              <w:jc w:val="left"/>
            </w:pPr>
            <w:r/>
            <w:r>
              <w:rPr>
                <w:rFonts w:ascii="Arial" w:hAnsi="Arial"/>
                <w:b w:val="0"/>
                <w:sz w:val="18"/>
              </w:rPr>
              <w:t>A39L009PZ requires scope reconciliation because earlier Work Plan text and later optimized strategy may differ.</w:t>
            </w:r>
          </w:p>
        </w:tc>
        <w:tc>
          <w:tcPr>
            <w:tcW w:type="dxa" w:w="3408"/>
            <w:vAlign w:val="top"/>
          </w:tcPr>
          <w:p>
            <w:pPr>
              <w:jc w:val="left"/>
            </w:pPr>
            <w:r/>
            <w:r>
              <w:rPr>
                <w:rFonts w:ascii="Arial" w:hAnsi="Arial"/>
                <w:b w:val="0"/>
                <w:sz w:val="18"/>
              </w:rPr>
              <w:t>Do not list as a 2025 missing sample if the latest optimized strategy supports gauging/inspection only.</w:t>
            </w:r>
          </w:p>
        </w:tc>
      </w:tr>
      <w:tr>
        <w:tc>
          <w:tcPr>
            <w:tcW w:type="dxa" w:w="3408"/>
            <w:vAlign w:val="top"/>
          </w:tcPr>
          <w:p>
            <w:pPr>
              <w:jc w:val="left"/>
            </w:pPr>
            <w:r/>
            <w:r>
              <w:rPr>
                <w:rFonts w:ascii="Arial" w:hAnsi="Arial"/>
                <w:b w:val="0"/>
                <w:sz w:val="18"/>
              </w:rPr>
              <w:t>PFAS/IDW</w:t>
            </w:r>
          </w:p>
        </w:tc>
        <w:tc>
          <w:tcPr>
            <w:tcW w:type="dxa" w:w="3408"/>
            <w:vAlign w:val="top"/>
          </w:tcPr>
          <w:p>
            <w:pPr>
              <w:jc w:val="left"/>
            </w:pPr>
            <w:r/>
            <w:r>
              <w:rPr>
                <w:rFonts w:ascii="Arial" w:hAnsi="Arial"/>
                <w:b w:val="0"/>
                <w:sz w:val="18"/>
              </w:rPr>
              <w:t>PFAS should not take over the SS045 VOC/MNA AMR.</w:t>
            </w:r>
          </w:p>
        </w:tc>
        <w:tc>
          <w:tcPr>
            <w:tcW w:type="dxa" w:w="3408"/>
            <w:vAlign w:val="top"/>
          </w:tcPr>
          <w:p>
            <w:pPr>
              <w:jc w:val="left"/>
            </w:pPr>
            <w:r/>
            <w:r>
              <w:rPr>
                <w:rFonts w:ascii="Arial" w:hAnsi="Arial"/>
                <w:b w:val="0"/>
                <w:sz w:val="18"/>
              </w:rPr>
              <w:t>Discuss PFAS only in the IDW/GAC management context or as a separate RI item if needed.</w:t>
            </w:r>
          </w:p>
        </w:tc>
      </w:tr>
    </w:tbl>
    <w:p>
      <w:pPr>
        <w:pStyle w:val="Heading1"/>
      </w:pPr>
      <w:r>
        <w:rPr>
          <w:rFonts w:ascii="Arial" w:hAnsi="Arial"/>
        </w:rPr>
        <w:t>8. File and Folder Rules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D9EAF7"/>
            <w:vAlign w:val="center"/>
          </w:tcPr>
          <w:p>
            <w:pPr>
              <w:jc w:val="left"/>
            </w:pPr>
            <w:r/>
            <w:r>
              <w:rPr>
                <w:rFonts w:ascii="Arial" w:hAnsi="Arial"/>
                <w:b/>
                <w:sz w:val="18"/>
              </w:rPr>
              <w:t>Rule Area</w:t>
            </w:r>
          </w:p>
        </w:tc>
        <w:tc>
          <w:tcPr>
            <w:tcW w:type="dxa" w:w="3408"/>
            <w:shd w:fill="D9EAF7"/>
            <w:vAlign w:val="center"/>
          </w:tcPr>
          <w:p>
            <w:pPr>
              <w:jc w:val="left"/>
            </w:pPr>
            <w:r/>
            <w:r>
              <w:rPr>
                <w:rFonts w:ascii="Arial" w:hAnsi="Arial"/>
                <w:b/>
                <w:sz w:val="18"/>
              </w:rPr>
              <w:t>Client / Project Rule</w:t>
            </w:r>
          </w:p>
        </w:tc>
        <w:tc>
          <w:tcPr>
            <w:tcW w:type="dxa" w:w="3408"/>
            <w:shd w:fill="D9EAF7"/>
            <w:vAlign w:val="center"/>
          </w:tcPr>
          <w:p>
            <w:pPr>
              <w:jc w:val="left"/>
            </w:pPr>
            <w:r/>
            <w:r>
              <w:rPr>
                <w:rFonts w:ascii="Arial" w:hAnsi="Arial"/>
                <w:b/>
                <w:sz w:val="18"/>
              </w:rPr>
              <w:t>AMR Implementation</w:t>
            </w:r>
          </w:p>
        </w:tc>
      </w:tr>
      <w:tr>
        <w:tc>
          <w:tcPr>
            <w:tcW w:type="dxa" w:w="3408"/>
            <w:vAlign w:val="top"/>
          </w:tcPr>
          <w:p>
            <w:pPr>
              <w:jc w:val="left"/>
            </w:pPr>
            <w:r/>
            <w:r>
              <w:rPr>
                <w:rFonts w:ascii="Arial" w:hAnsi="Arial"/>
                <w:b w:val="0"/>
                <w:sz w:val="18"/>
              </w:rPr>
              <w:t>No duplicate controls</w:t>
            </w:r>
          </w:p>
        </w:tc>
        <w:tc>
          <w:tcPr>
            <w:tcW w:type="dxa" w:w="3408"/>
            <w:vAlign w:val="top"/>
          </w:tcPr>
          <w:p>
            <w:pPr>
              <w:jc w:val="left"/>
            </w:pPr>
            <w:r/>
            <w:r>
              <w:rPr>
                <w:rFonts w:ascii="Arial" w:hAnsi="Arial"/>
                <w:b w:val="0"/>
                <w:sz w:val="18"/>
              </w:rPr>
              <w:t>Do not duplicate large source documents already maintained in other controlled project folders.</w:t>
            </w:r>
          </w:p>
        </w:tc>
        <w:tc>
          <w:tcPr>
            <w:tcW w:type="dxa" w:w="3408"/>
            <w:vAlign w:val="top"/>
          </w:tcPr>
          <w:p>
            <w:pPr>
              <w:jc w:val="left"/>
            </w:pPr>
            <w:r/>
            <w:r>
              <w:rPr>
                <w:rFonts w:ascii="Arial" w:hAnsi="Arial"/>
                <w:b w:val="0"/>
                <w:sz w:val="18"/>
              </w:rPr>
              <w:t>Use 00_AMR_Control for source-basis excerpts, links, decision logs, data gaps, and comment trackers only.</w:t>
            </w:r>
          </w:p>
        </w:tc>
      </w:tr>
      <w:tr>
        <w:tc>
          <w:tcPr>
            <w:tcW w:type="dxa" w:w="3408"/>
            <w:vAlign w:val="top"/>
          </w:tcPr>
          <w:p>
            <w:pPr>
              <w:jc w:val="left"/>
            </w:pPr>
            <w:r/>
            <w:r>
              <w:rPr>
                <w:rFonts w:ascii="Arial" w:hAnsi="Arial"/>
                <w:b w:val="0"/>
                <w:sz w:val="18"/>
              </w:rPr>
              <w:t>Tables</w:t>
            </w:r>
          </w:p>
        </w:tc>
        <w:tc>
          <w:tcPr>
            <w:tcW w:type="dxa" w:w="3408"/>
            <w:vAlign w:val="top"/>
          </w:tcPr>
          <w:p>
            <w:pPr>
              <w:jc w:val="left"/>
            </w:pPr>
            <w:r/>
            <w:r>
              <w:rPr>
                <w:rFonts w:ascii="Arial" w:hAnsi="Arial"/>
                <w:b w:val="0"/>
                <w:sz w:val="18"/>
              </w:rPr>
              <w:t>Working AMR tables belong in 02_Tables.</w:t>
            </w:r>
          </w:p>
        </w:tc>
        <w:tc>
          <w:tcPr>
            <w:tcW w:type="dxa" w:w="3408"/>
            <w:vAlign w:val="top"/>
          </w:tcPr>
          <w:p>
            <w:pPr>
              <w:jc w:val="left"/>
            </w:pPr>
            <w:r/>
            <w:r>
              <w:rPr>
                <w:rFonts w:ascii="Arial" w:hAnsi="Arial"/>
                <w:b w:val="0"/>
                <w:sz w:val="18"/>
              </w:rPr>
              <w:t>Use file names that include table number, short title, status, and date or version.</w:t>
            </w:r>
          </w:p>
        </w:tc>
      </w:tr>
      <w:tr>
        <w:tc>
          <w:tcPr>
            <w:tcW w:type="dxa" w:w="3408"/>
            <w:vAlign w:val="top"/>
          </w:tcPr>
          <w:p>
            <w:pPr>
              <w:jc w:val="left"/>
            </w:pPr>
            <w:r/>
            <w:r>
              <w:rPr>
                <w:rFonts w:ascii="Arial" w:hAnsi="Arial"/>
                <w:b w:val="0"/>
                <w:sz w:val="18"/>
              </w:rPr>
              <w:t>Text</w:t>
            </w:r>
          </w:p>
        </w:tc>
        <w:tc>
          <w:tcPr>
            <w:tcW w:type="dxa" w:w="3408"/>
            <w:vAlign w:val="top"/>
          </w:tcPr>
          <w:p>
            <w:pPr>
              <w:jc w:val="left"/>
            </w:pPr>
            <w:r/>
            <w:r>
              <w:rPr>
                <w:rFonts w:ascii="Arial" w:hAnsi="Arial"/>
                <w:b w:val="0"/>
                <w:sz w:val="18"/>
              </w:rPr>
              <w:t>Report text versions belong in 06_Text.</w:t>
            </w:r>
          </w:p>
        </w:tc>
        <w:tc>
          <w:tcPr>
            <w:tcW w:type="dxa" w:w="3408"/>
            <w:vAlign w:val="top"/>
          </w:tcPr>
          <w:p>
            <w:pPr>
              <w:jc w:val="left"/>
            </w:pPr>
            <w:r/>
            <w:r>
              <w:rPr>
                <w:rFonts w:ascii="Arial" w:hAnsi="Arial"/>
                <w:b w:val="0"/>
                <w:sz w:val="18"/>
              </w:rPr>
              <w:t>Use WorkingCopy, AFBackcheck, Draft_Regulator, and Final status in file names.</w:t>
            </w:r>
          </w:p>
        </w:tc>
      </w:tr>
      <w:tr>
        <w:tc>
          <w:tcPr>
            <w:tcW w:type="dxa" w:w="3408"/>
            <w:vAlign w:val="top"/>
          </w:tcPr>
          <w:p>
            <w:pPr>
              <w:jc w:val="left"/>
            </w:pPr>
            <w:r/>
            <w:r>
              <w:rPr>
                <w:rFonts w:ascii="Arial" w:hAnsi="Arial"/>
                <w:b w:val="0"/>
                <w:sz w:val="18"/>
              </w:rPr>
              <w:t>Submittals</w:t>
            </w:r>
          </w:p>
        </w:tc>
        <w:tc>
          <w:tcPr>
            <w:tcW w:type="dxa" w:w="3408"/>
            <w:vAlign w:val="top"/>
          </w:tcPr>
          <w:p>
            <w:pPr>
              <w:jc w:val="left"/>
            </w:pPr>
            <w:r/>
            <w:r>
              <w:rPr>
                <w:rFonts w:ascii="Arial" w:hAnsi="Arial"/>
                <w:b w:val="0"/>
                <w:sz w:val="18"/>
              </w:rPr>
              <w:t>Packaged deliverables belong in 07_Submittals.</w:t>
            </w:r>
          </w:p>
        </w:tc>
        <w:tc>
          <w:tcPr>
            <w:tcW w:type="dxa" w:w="3408"/>
            <w:vAlign w:val="top"/>
          </w:tcPr>
          <w:p>
            <w:pPr>
              <w:jc w:val="left"/>
            </w:pPr>
            <w:r/>
            <w:r>
              <w:rPr>
                <w:rFonts w:ascii="Arial" w:hAnsi="Arial"/>
                <w:b w:val="0"/>
                <w:sz w:val="18"/>
              </w:rPr>
              <w:t>Each submittal package should include report, figures, tables, appendices, and transmittal/comment-response records as applicable.</w:t>
            </w:r>
          </w:p>
        </w:tc>
      </w:tr>
    </w:tbl>
    <w:p>
      <w:pPr>
        <w:pStyle w:val="Heading1"/>
      </w:pPr>
      <w:r>
        <w:rPr>
          <w:rFonts w:ascii="Arial" w:hAnsi="Arial"/>
        </w:rPr>
        <w:t>9. Initial Table Order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D9EAF7"/>
            <w:vAlign w:val="center"/>
          </w:tcPr>
          <w:p>
            <w:pPr>
              <w:jc w:val="left"/>
            </w:pPr>
            <w:r/>
            <w:r>
              <w:rPr>
                <w:rFonts w:ascii="Arial" w:hAnsi="Arial"/>
                <w:b/>
                <w:sz w:val="18"/>
              </w:rPr>
              <w:t>Rule Area</w:t>
            </w:r>
          </w:p>
        </w:tc>
        <w:tc>
          <w:tcPr>
            <w:tcW w:type="dxa" w:w="3408"/>
            <w:shd w:fill="D9EAF7"/>
            <w:vAlign w:val="center"/>
          </w:tcPr>
          <w:p>
            <w:pPr>
              <w:jc w:val="left"/>
            </w:pPr>
            <w:r/>
            <w:r>
              <w:rPr>
                <w:rFonts w:ascii="Arial" w:hAnsi="Arial"/>
                <w:b/>
                <w:sz w:val="18"/>
              </w:rPr>
              <w:t>Client / Project Rule</w:t>
            </w:r>
          </w:p>
        </w:tc>
        <w:tc>
          <w:tcPr>
            <w:tcW w:type="dxa" w:w="3408"/>
            <w:shd w:fill="D9EAF7"/>
            <w:vAlign w:val="center"/>
          </w:tcPr>
          <w:p>
            <w:pPr>
              <w:jc w:val="left"/>
            </w:pPr>
            <w:r/>
            <w:r>
              <w:rPr>
                <w:rFonts w:ascii="Arial" w:hAnsi="Arial"/>
                <w:b/>
                <w:sz w:val="18"/>
              </w:rPr>
              <w:t>AMR Implementation</w:t>
            </w:r>
          </w:p>
        </w:tc>
      </w:tr>
      <w:tr>
        <w:tc>
          <w:tcPr>
            <w:tcW w:type="dxa" w:w="3408"/>
            <w:vAlign w:val="top"/>
          </w:tcPr>
          <w:p>
            <w:pPr>
              <w:jc w:val="left"/>
            </w:pPr>
            <w:r/>
            <w:r>
              <w:rPr>
                <w:rFonts w:ascii="Arial" w:hAnsi="Arial"/>
                <w:b w:val="0"/>
                <w:sz w:val="18"/>
              </w:rPr>
              <w:t>Table 1-1</w:t>
            </w:r>
          </w:p>
        </w:tc>
        <w:tc>
          <w:tcPr>
            <w:tcW w:type="dxa" w:w="3408"/>
            <w:vAlign w:val="top"/>
          </w:tcPr>
          <w:p>
            <w:pPr>
              <w:jc w:val="left"/>
            </w:pPr>
            <w:r/>
            <w:r>
              <w:rPr>
                <w:rFonts w:ascii="Arial" w:hAnsi="Arial"/>
                <w:b w:val="0"/>
                <w:sz w:val="18"/>
              </w:rPr>
              <w:t>2025 AMR Reporting Basis and Report Location Crosswalk</w:t>
            </w:r>
          </w:p>
        </w:tc>
        <w:tc>
          <w:tcPr>
            <w:tcW w:type="dxa" w:w="3408"/>
            <w:vAlign w:val="top"/>
          </w:tcPr>
          <w:p>
            <w:pPr>
              <w:jc w:val="left"/>
            </w:pPr>
            <w:r/>
            <w:r>
              <w:rPr>
                <w:rFonts w:ascii="Arial" w:hAnsi="Arial"/>
                <w:b w:val="0"/>
                <w:sz w:val="18"/>
              </w:rPr>
              <w:t>Section 1. Used to justify concise reporting structure and show where requirements are addressed.</w:t>
            </w:r>
          </w:p>
        </w:tc>
      </w:tr>
      <w:tr>
        <w:tc>
          <w:tcPr>
            <w:tcW w:type="dxa" w:w="3408"/>
            <w:vAlign w:val="top"/>
          </w:tcPr>
          <w:p>
            <w:pPr>
              <w:jc w:val="left"/>
            </w:pPr>
            <w:r/>
            <w:r>
              <w:rPr>
                <w:rFonts w:ascii="Arial" w:hAnsi="Arial"/>
                <w:b w:val="0"/>
                <w:sz w:val="18"/>
              </w:rPr>
              <w:t>Table 2-1</w:t>
            </w:r>
          </w:p>
        </w:tc>
        <w:tc>
          <w:tcPr>
            <w:tcW w:type="dxa" w:w="3408"/>
            <w:vAlign w:val="top"/>
          </w:tcPr>
          <w:p>
            <w:pPr>
              <w:jc w:val="left"/>
            </w:pPr>
            <w:r/>
            <w:r>
              <w:rPr>
                <w:rFonts w:ascii="Arial" w:hAnsi="Arial"/>
                <w:b w:val="0"/>
                <w:sz w:val="18"/>
              </w:rPr>
              <w:t>COCs and BCT-CSLs</w:t>
            </w:r>
          </w:p>
        </w:tc>
        <w:tc>
          <w:tcPr>
            <w:tcW w:type="dxa" w:w="3408"/>
            <w:vAlign w:val="top"/>
          </w:tcPr>
          <w:p>
            <w:pPr>
              <w:jc w:val="left"/>
            </w:pPr>
            <w:r/>
            <w:r>
              <w:rPr>
                <w:rFonts w:ascii="Arial" w:hAnsi="Arial"/>
                <w:b w:val="0"/>
                <w:sz w:val="18"/>
              </w:rPr>
              <w:t>Section 2. First technical screening-level table.</w:t>
            </w:r>
          </w:p>
        </w:tc>
      </w:tr>
      <w:tr>
        <w:tc>
          <w:tcPr>
            <w:tcW w:type="dxa" w:w="3408"/>
            <w:vAlign w:val="top"/>
          </w:tcPr>
          <w:p>
            <w:pPr>
              <w:jc w:val="left"/>
            </w:pPr>
            <w:r/>
            <w:r>
              <w:rPr>
                <w:rFonts w:ascii="Arial" w:hAnsi="Arial"/>
                <w:b w:val="0"/>
                <w:sz w:val="18"/>
              </w:rPr>
              <w:t>Table 2-2</w:t>
            </w:r>
          </w:p>
        </w:tc>
        <w:tc>
          <w:tcPr>
            <w:tcW w:type="dxa" w:w="3408"/>
            <w:vAlign w:val="top"/>
          </w:tcPr>
          <w:p>
            <w:pPr>
              <w:jc w:val="left"/>
            </w:pPr>
            <w:r/>
            <w:r>
              <w:rPr>
                <w:rFonts w:ascii="Arial" w:hAnsi="Arial"/>
                <w:b w:val="0"/>
                <w:sz w:val="18"/>
              </w:rPr>
              <w:t>2025 Monitoring Scope Compliance Matrix</w:t>
            </w:r>
          </w:p>
        </w:tc>
        <w:tc>
          <w:tcPr>
            <w:tcW w:type="dxa" w:w="3408"/>
            <w:vAlign w:val="top"/>
          </w:tcPr>
          <w:p>
            <w:pPr>
              <w:jc w:val="left"/>
            </w:pPr>
            <w:r/>
            <w:r>
              <w:rPr>
                <w:rFonts w:ascii="Arial" w:hAnsi="Arial"/>
                <w:b w:val="0"/>
                <w:sz w:val="18"/>
              </w:rPr>
              <w:t>Section 2. Shows biennial-cycle scope, required/actual sampling, and field exceptions.</w:t>
            </w:r>
          </w:p>
        </w:tc>
      </w:tr>
      <w:tr>
        <w:tc>
          <w:tcPr>
            <w:tcW w:type="dxa" w:w="3408"/>
            <w:vAlign w:val="top"/>
          </w:tcPr>
          <w:p>
            <w:pPr>
              <w:jc w:val="left"/>
            </w:pPr>
            <w:r/>
            <w:r>
              <w:rPr>
                <w:rFonts w:ascii="Arial" w:hAnsi="Arial"/>
                <w:b w:val="0"/>
                <w:sz w:val="18"/>
              </w:rPr>
              <w:t>Table 3-1</w:t>
            </w:r>
          </w:p>
        </w:tc>
        <w:tc>
          <w:tcPr>
            <w:tcW w:type="dxa" w:w="3408"/>
            <w:vAlign w:val="top"/>
          </w:tcPr>
          <w:p>
            <w:pPr>
              <w:jc w:val="left"/>
            </w:pPr>
            <w:r/>
            <w:r>
              <w:rPr>
                <w:rFonts w:ascii="Arial" w:hAnsi="Arial"/>
                <w:b w:val="0"/>
                <w:sz w:val="18"/>
              </w:rPr>
              <w:t>2025 COC Exceedance and Remedy-Performance Summary</w:t>
            </w:r>
          </w:p>
        </w:tc>
        <w:tc>
          <w:tcPr>
            <w:tcW w:type="dxa" w:w="3408"/>
            <w:vAlign w:val="top"/>
          </w:tcPr>
          <w:p>
            <w:pPr>
              <w:jc w:val="left"/>
            </w:pPr>
            <w:r/>
            <w:r>
              <w:rPr>
                <w:rFonts w:ascii="Arial" w:hAnsi="Arial"/>
                <w:b w:val="0"/>
                <w:sz w:val="18"/>
              </w:rPr>
              <w:t>Section 3. Primary results table.</w:t>
            </w:r>
          </w:p>
        </w:tc>
      </w:tr>
      <w:tr>
        <w:tc>
          <w:tcPr>
            <w:tcW w:type="dxa" w:w="3408"/>
            <w:vAlign w:val="top"/>
          </w:tcPr>
          <w:p>
            <w:pPr>
              <w:jc w:val="left"/>
            </w:pPr>
            <w:r/>
            <w:r>
              <w:rPr>
                <w:rFonts w:ascii="Arial" w:hAnsi="Arial"/>
                <w:b w:val="0"/>
                <w:sz w:val="18"/>
              </w:rPr>
              <w:t>Table 4-1</w:t>
            </w:r>
          </w:p>
        </w:tc>
        <w:tc>
          <w:tcPr>
            <w:tcW w:type="dxa" w:w="3408"/>
            <w:vAlign w:val="top"/>
          </w:tcPr>
          <w:p>
            <w:pPr>
              <w:jc w:val="left"/>
            </w:pPr>
            <w:r/>
            <w:r>
              <w:rPr>
                <w:rFonts w:ascii="Arial" w:hAnsi="Arial"/>
                <w:b w:val="0"/>
                <w:sz w:val="18"/>
              </w:rPr>
              <w:t>Priority-Well Trend and MNA Interpretation Summary</w:t>
            </w:r>
          </w:p>
        </w:tc>
        <w:tc>
          <w:tcPr>
            <w:tcW w:type="dxa" w:w="3408"/>
            <w:vAlign w:val="top"/>
          </w:tcPr>
          <w:p>
            <w:pPr>
              <w:jc w:val="left"/>
            </w:pPr>
            <w:r/>
            <w:r>
              <w:rPr>
                <w:rFonts w:ascii="Arial" w:hAnsi="Arial"/>
                <w:b w:val="0"/>
                <w:sz w:val="18"/>
              </w:rPr>
              <w:t>Section 4. Primary interpretation table.</w:t>
            </w:r>
          </w:p>
        </w:tc>
      </w:tr>
      <w:tr>
        <w:tc>
          <w:tcPr>
            <w:tcW w:type="dxa" w:w="3408"/>
            <w:vAlign w:val="top"/>
          </w:tcPr>
          <w:p>
            <w:pPr>
              <w:jc w:val="left"/>
            </w:pPr>
            <w:r/>
            <w:r>
              <w:rPr>
                <w:rFonts w:ascii="Arial" w:hAnsi="Arial"/>
                <w:b w:val="0"/>
                <w:sz w:val="18"/>
              </w:rPr>
              <w:t>Table 5-1</w:t>
            </w:r>
          </w:p>
        </w:tc>
        <w:tc>
          <w:tcPr>
            <w:tcW w:type="dxa" w:w="3408"/>
            <w:vAlign w:val="top"/>
          </w:tcPr>
          <w:p>
            <w:pPr>
              <w:jc w:val="left"/>
            </w:pPr>
            <w:r/>
            <w:r>
              <w:rPr>
                <w:rFonts w:ascii="Arial" w:hAnsi="Arial"/>
                <w:b w:val="0"/>
                <w:sz w:val="18"/>
              </w:rPr>
              <w:t>Recommended 2026 RA-O Monitoring Strategy</w:t>
            </w:r>
          </w:p>
        </w:tc>
        <w:tc>
          <w:tcPr>
            <w:tcW w:type="dxa" w:w="3408"/>
            <w:vAlign w:val="top"/>
          </w:tcPr>
          <w:p>
            <w:pPr>
              <w:jc w:val="left"/>
            </w:pPr>
            <w:r/>
            <w:r>
              <w:rPr>
                <w:rFonts w:ascii="Arial" w:hAnsi="Arial"/>
                <w:b w:val="0"/>
                <w:sz w:val="18"/>
              </w:rPr>
              <w:t>Section 5. Recommendations tied to monitoring objectives and 2025 findings.</w:t>
            </w:r>
          </w:p>
        </w:tc>
      </w:tr>
    </w:tbl>
    <w:p>
      <w:pPr>
        <w:pStyle w:val="Heading1"/>
      </w:pPr>
      <w:r>
        <w:rPr>
          <w:rFonts w:ascii="Arial" w:hAnsi="Arial"/>
        </w:rPr>
        <w:t>10. Open Rule Items to Confirm</w:t>
      </w:r>
    </w:p>
    <w:p>
      <w:pPr>
        <w:ind w:left="360"/>
      </w:pPr>
      <w:r>
        <w:rPr>
          <w:rFonts w:ascii="Arial" w:hAnsi="Arial"/>
          <w:sz w:val="20"/>
        </w:rPr>
        <w:t>• Whether the Air Force wants “SS045” or “SS-45” retained on the cover page. Current working rule is SS045 after the alias paragraph.</w:t>
      </w:r>
    </w:p>
    <w:p>
      <w:pPr>
        <w:ind w:left="360"/>
      </w:pPr>
      <w:r>
        <w:rPr>
          <w:rFonts w:ascii="Arial" w:hAnsi="Arial"/>
          <w:sz w:val="20"/>
        </w:rPr>
        <w:t>• Whether results equal to BCT-CSLs are treated as exceedances or “at BCT-CSL.” Current working rule is “at BCT-CSL.”</w:t>
      </w:r>
    </w:p>
    <w:p>
      <w:pPr>
        <w:ind w:left="360"/>
      </w:pPr>
      <w:r>
        <w:rPr>
          <w:rFonts w:ascii="Arial" w:hAnsi="Arial"/>
          <w:sz w:val="20"/>
        </w:rPr>
        <w:t>• Whether individual analyte concentration maps are required in the main report or can be moved to appendix/support material.</w:t>
      </w:r>
    </w:p>
    <w:p>
      <w:pPr>
        <w:ind w:left="360"/>
      </w:pPr>
      <w:r>
        <w:rPr>
          <w:rFonts w:ascii="Arial" w:hAnsi="Arial"/>
          <w:sz w:val="20"/>
        </w:rPr>
        <w:t>• Whether trend plates will be submitted as Appendix D plates or as separate 11x17 supplemental material.</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2025 SS045 AMR Client Rules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