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APPENDIX D</w:t>
        <w:br/>
        <w:t>HISTORICAL DATA AND TREND EVALUATION</w:t>
      </w:r>
    </w:p>
    <w:p>
      <w:pPr>
        <w:jc w:val="center"/>
      </w:pPr>
      <w:r>
        <w:rPr>
          <w:rFonts w:ascii="Arial" w:hAnsi="Arial"/>
          <w:b/>
          <w:sz w:val="24"/>
        </w:rPr>
        <w:t>Data Use Summary and Trend Plate Plotting Conventions</w:t>
      </w:r>
    </w:p>
    <w:p>
      <w:pPr>
        <w:jc w:val="center"/>
      </w:pPr>
      <w:r>
        <w:rPr>
          <w:rFonts w:ascii="Arial" w:hAnsi="Arial"/>
          <w:sz w:val="22"/>
        </w:rPr>
        <w:t>2025 Annual Monitoring Report</w:t>
        <w:br/>
        <w:t>SS045</w:t>
        <w:br/>
        <w:t>Former England Air Force Base</w:t>
        <w:br/>
        <w:t>Alexandria, Louisiana</w:t>
      </w:r>
    </w:p>
    <w:p>
      <w:pPr>
        <w:jc w:val="center"/>
      </w:pPr>
      <w:r>
        <w:rPr>
          <w:rFonts w:ascii="Arial" w:hAnsi="Arial"/>
          <w:i/>
          <w:sz w:val="20"/>
        </w:rPr>
        <w:t>Working Copy – For Internal Development and Air Force Review</w:t>
      </w:r>
    </w:p>
    <w:p>
      <w:pPr>
        <w:spacing w:before="160" w:after="80"/>
        <w:jc w:val="center"/>
      </w:pPr>
      <w:r>
        <w:rPr>
          <w:rFonts w:ascii="Arial" w:hAnsi="Arial"/>
          <w:b/>
          <w:sz w:val="18"/>
        </w:rPr>
        <w:t>Table D-0. Appendix D 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5040"/>
            <w:shd w:fill="D9EAF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7"/>
              </w:rPr>
              <w:t>Prepared for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7"/>
              </w:rPr>
              <w:t>2025 Annual Monitoring Report, SS045</w:t>
            </w:r>
          </w:p>
        </w:tc>
      </w:tr>
      <w:tr>
        <w:tc>
          <w:tcPr>
            <w:tcW w:type="dxa" w:w="5040"/>
            <w:shd w:fill="D9EAF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7"/>
              </w:rPr>
              <w:t>Purpose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7"/>
              </w:rPr>
              <w:t>Define data-use conventions, trend-plate content, plotting assumptions, and QA/QC expectations for Appendix D.</w:t>
            </w:r>
          </w:p>
        </w:tc>
      </w:tr>
      <w:tr>
        <w:tc>
          <w:tcPr>
            <w:tcW w:type="dxa" w:w="5040"/>
            <w:shd w:fill="D9EAF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7"/>
              </w:rPr>
              <w:t>Primary use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7"/>
              </w:rPr>
              <w:t>Support the main-report remedy-performance interpretation and 2026 RA-O monitoring recommendations.</w:t>
            </w:r>
          </w:p>
        </w:tc>
      </w:tr>
      <w:tr>
        <w:tc>
          <w:tcPr>
            <w:tcW w:type="dxa" w:w="5040"/>
            <w:shd w:fill="D9EAF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7"/>
              </w:rPr>
              <w:t>Working copy; update after final trend plates, final table values, and AF review comments are incorporated.</w:t>
            </w:r>
          </w:p>
        </w:tc>
      </w:tr>
      <w:tr>
        <w:tc>
          <w:tcPr>
            <w:tcW w:type="dxa" w:w="5040"/>
            <w:shd w:fill="D9EAF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7"/>
              </w:rPr>
              <w:t>Save location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04_Trend_Plates</w:t>
            </w:r>
          </w:p>
        </w:tc>
      </w:tr>
    </w:tbl>
    <w:p>
      <w:pPr>
        <w:pStyle w:val="Heading1"/>
      </w:pPr>
      <w:r>
        <w:t>Acronyms and Abbreviations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AMR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Annual Monitoring Report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BCT-CSL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BRAC Cleanup Team-Concurred Screening Level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COC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contaminant of concern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DCE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dichloroethene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DO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dissolved oxygen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DUVR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Data Verification and Usability Report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LUC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land use control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MNA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monitored natural attenuation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ORP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oxidation-reduction potential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QAPP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Quality Assurance Project Plan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RA-O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Remedial Action-Operations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TCE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trichloroethene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TOC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total organic carbon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VC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vinyl chloride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VOC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volatile organic compound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CMIWP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Corrective Measures Implementation Work Plan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operating properly and successfully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QA/QC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quality assurance/quality control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SS045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Spill Site 45 / SWMU 332</w:t>
            </w:r>
          </w:p>
        </w:tc>
      </w:tr>
    </w:tbl>
    <w:p>
      <w:pPr>
        <w:pStyle w:val="Heading1"/>
      </w:pPr>
      <w:r>
        <w:t>1. Purpose and Use of Appendix D</w:t>
      </w:r>
    </w:p>
    <w:p>
      <w:r>
        <w:t>This appendix supports the 2025 AMR by providing the historical-data context and priority-well trend plates used to evaluate MNA performance at SS045. The appendix is intended to function as the technical proof behind the concise main-report narrative; it should not repeat the full site history, regulatory history, or field documentation. The main report will summarize the remedy-performance conclusion, while Appendix D will provide the well-specific trend evidence, plotting conventions, and historical-data support used to reach that conclusion.</w:t>
      </w:r>
    </w:p>
    <w:p>
      <w:r>
        <w:t>The appendix is organized around priority wells rather than every monitoring location. Priority wells include current-year BCT-CSL exceedance wells, wells with historical trend significance, deep-zone performance wells, and selected wells needed to support 2026 RA-O monitoring recommendations. This approach is consistent with EPA guidance for MNA performance monitoring and long-term monitoring optimization, which emphasizes site-specific evidence, contaminant trends, geochemical conditions, and monitoring networks focused on remedy-performance objectives.</w:t>
      </w:r>
    </w:p>
    <w:p>
      <w:pPr>
        <w:pStyle w:val="Heading1"/>
      </w:pPr>
      <w:r>
        <w:t>2. Evaluation Framework</w:t>
      </w:r>
    </w:p>
    <w:p>
      <w:pPr>
        <w:pStyle w:val="ListBullet"/>
      </w:pPr>
      <w:r>
        <w:t>SS045 is evaluated as a single groundwater plume with site areas used for remedy-performance interpretation. North Apron, Tower, Central/BH-01, and Le Tig Bayou are reporting areas within the SS045 plume and should not be presented as separate regulatory plumes unless future concurrence documentation establishes that terminology.</w:t>
      </w:r>
    </w:p>
    <w:p>
      <w:pPr>
        <w:pStyle w:val="ListBullet"/>
      </w:pPr>
      <w:r>
        <w:t>The 2025 AMR evaluates current groundwater conditions using individual COC concentrations compared to BCT-CSLs, concentration trends, MNA indicators, groundwater-flow conditions, data usability, and LUC status. Historical interim goals are not used as current annual performance criteria.</w:t>
      </w:r>
    </w:p>
    <w:p>
      <w:pPr>
        <w:pStyle w:val="ListBullet"/>
      </w:pPr>
      <w:r>
        <w:t>Trend plates are interpretive support tools. They do not replace the validated analytical tables, final exceedance summary, DUVR, or main-report recommendations. Where a trend plate and a final report table differ, the final validated analytical table and the main-report table should control.</w:t>
      </w:r>
    </w:p>
    <w:p>
      <w:pPr>
        <w:pStyle w:val="Heading1"/>
      </w:pPr>
      <w:r>
        <w:t>3. Data Sources</w:t>
      </w:r>
    </w:p>
    <w:p>
      <w:pPr>
        <w:spacing w:before="160" w:after="80"/>
        <w:jc w:val="center"/>
      </w:pPr>
      <w:r>
        <w:rPr>
          <w:rFonts w:ascii="Arial" w:hAnsi="Arial"/>
          <w:b/>
          <w:sz w:val="18"/>
        </w:rPr>
        <w:t>Table D-1. Data Sources Used for Appendix 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Data source</w:t>
            </w:r>
          </w:p>
        </w:tc>
        <w:tc>
          <w:tcPr>
            <w:tcW w:type="dxa" w:w="3360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Use in Appendix D</w:t>
            </w:r>
          </w:p>
        </w:tc>
        <w:tc>
          <w:tcPr>
            <w:tcW w:type="dxa" w:w="3360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Primary report link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2025 validated groundwater analytical results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COC concentrations, duplicate results, reporting limits, and qualifiers used for exceedance status and trend-plate updates.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Appendix B and Table 3-1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2025 DUVR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Validation basis, data usability, completeness, and qualifier limitations.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Appendix C and Table 3-2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Historical groundwater data summaries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Historical time-series data used for trend plots and prior-event comparisons.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Appendix D electronic workbook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2025 field parameter and MNA data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DO, ORP, methane, ethene, ethane, TOC, chloride, sulfate, nitrate/nitrite, and related indicators.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Table 3-3 and Appendix A/B/C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2025 water-level and well inspection data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Groundwater elevation, inspection status, well maintenance observations, and network exceptions.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Appendix A and Figures 3-1/3-2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Precipitation data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Context for water-level response and seasonal interpretation; not used alone to infer contaminant behavior.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Trend plate input workbook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Work Plan, CMIWP, and OPS Report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RA-O scope, remedy framework, LUC status, and historical precedent for trend-analysis support appendices.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References</w:t>
            </w:r>
          </w:p>
        </w:tc>
      </w:tr>
    </w:tbl>
    <w:p>
      <w:pPr>
        <w:pStyle w:val="Heading1"/>
      </w:pPr>
      <w:r>
        <w:t>4. Priority Well Trend Plate Set</w:t>
      </w:r>
    </w:p>
    <w:p>
      <w:r>
        <w:t>Appendix D will include 11-by-17-inch landscape trend plates for the priority wells listed in Table D-2. The plate set is intentionally limited to wells needed to support the 2025 remedy-performance interpretation and 2026 RA-O recommendations. Additional wells may be added only if AF review, final analytical QA/QC, or trend-plate development identifies a specific interpretive need.</w:t>
      </w:r>
    </w:p>
    <w:p>
      <w:pPr>
        <w:spacing w:before="160" w:after="80"/>
        <w:jc w:val="center"/>
      </w:pPr>
      <w:r>
        <w:rPr>
          <w:rFonts w:ascii="Arial" w:hAnsi="Arial"/>
          <w:b/>
          <w:sz w:val="18"/>
        </w:rPr>
        <w:t>Table D-2. Priority Well Trend Plate Index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Plate</w:t>
            </w:r>
          </w:p>
        </w:tc>
        <w:tc>
          <w:tcPr>
            <w:tcW w:type="dxa" w:w="1680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Well</w:t>
            </w:r>
          </w:p>
        </w:tc>
        <w:tc>
          <w:tcPr>
            <w:tcW w:type="dxa" w:w="1680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Site area</w:t>
            </w:r>
          </w:p>
        </w:tc>
        <w:tc>
          <w:tcPr>
            <w:tcW w:type="dxa" w:w="1680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Zone</w:t>
            </w:r>
          </w:p>
        </w:tc>
        <w:tc>
          <w:tcPr>
            <w:tcW w:type="dxa" w:w="1680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COCs to plot</w:t>
            </w:r>
          </w:p>
        </w:tc>
        <w:tc>
          <w:tcPr>
            <w:tcW w:type="dxa" w:w="1680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Interpretation focus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D-1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BH01MW02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Central/BH-01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Shallow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Benzene, VC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Central/BH-01 exceedance.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D-2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Well #8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Le Tig Bayou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Intermediate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VC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Localized VC exceedance.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D-3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Well #25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Le Tig Bayou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Intermediate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VC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Current-year VC exceedance.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D-4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A39L014DP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North Apron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Intermediate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TCE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Low-level TCE exceedance.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D-5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A39MW095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North Apron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Intermediate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VC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Low-level VC exceedance.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D-6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SS45L001MW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North Apron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Intermediate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VC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VC exceedance and sample-ID note.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D-7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Well #11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North Apron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Intermediate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VC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Primary VC performance location.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D-8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Well #13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North Apron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Intermediate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VC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Primary VC performance location.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D-9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Well #15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North Apron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Intermediate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1,1-DCE, TCE, VC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Multiple COC exceedances.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D-10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Well #17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North Apron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Intermediate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VC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Persistent VC exceedance.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D-11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A39L028DP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North Apron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Deep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VC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Deep-zone VC exceedance.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D-12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A39MW094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North Apron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Deep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cis-1,2-DCE, VC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Primary deep-zone issue.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D-13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SS45L002MW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North Apron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Deep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VC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Deep-zone VC exceedance.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D-14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Well #12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North Apron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Deep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VC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Deep-zone VC exceedance.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D-15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Well #14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North Apron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Deep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VC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Low-level deep-zone VC exceedance.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D-16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A39L036DPR2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Tower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Intermediate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TCE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Current-year TCE exceedance.</w:t>
            </w:r>
          </w:p>
        </w:tc>
      </w:tr>
    </w:tbl>
    <w:p>
      <w:pPr>
        <w:pStyle w:val="Heading1"/>
      </w:pPr>
      <w:r>
        <w:t>5. Trend Plate Layout and Plotting Conventions</w:t>
      </w:r>
    </w:p>
    <w:p>
      <w:pPr>
        <w:spacing w:before="160" w:after="80"/>
        <w:jc w:val="center"/>
      </w:pPr>
      <w:r>
        <w:rPr>
          <w:rFonts w:ascii="Arial" w:hAnsi="Arial"/>
          <w:b/>
          <w:sz w:val="18"/>
        </w:rPr>
        <w:t>Table D-3. Required Trend Plate Components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5040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Plate component</w:t>
            </w:r>
          </w:p>
        </w:tc>
        <w:tc>
          <w:tcPr>
            <w:tcW w:type="dxa" w:w="5040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Requirement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4"/>
              </w:rPr>
              <w:t>Header block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Well ID, site area, groundwater zone, monitoring category, screen interval where available, 2025 exceedance status, and recommended 2026 RA-O action.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4"/>
              </w:rPr>
              <w:t>VOC concentration plot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Primary COC time series on a log-scale y-axis. Plot only COCs needed to understand the well-specific story. Include BCT-CSL reference lines and label the 2025 result.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4"/>
              </w:rPr>
              <w:t>Hydrograph / precipitation context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Groundwater elevation and/or precipitation panel used to support hydrologic context. Precipitation should not be treated as proof of contaminant causation.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4"/>
              </w:rPr>
              <w:t>Recent-event table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Last three sampling events, detected COCs, BCT-CSL comparison, and key qualifiers.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4"/>
              </w:rPr>
              <w:t>Trend / interpretation box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Long-term trend, recent direction, MNA indicator context, and 2026 recommended action in concise language.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4"/>
              </w:rPr>
              <w:t>Notes block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Nondetect plotting convention, duplicate handling, qualifiers, data source, and units/acronyms for standalone use.</w:t>
            </w:r>
          </w:p>
        </w:tc>
      </w:tr>
    </w:tbl>
    <w:p>
      <w:pPr>
        <w:pStyle w:val="Heading2"/>
      </w:pPr>
      <w:r>
        <w:t>5.1 Plotting Rules</w:t>
      </w:r>
    </w:p>
    <w:p>
      <w:pPr>
        <w:pStyle w:val="ListBullet"/>
      </w:pPr>
      <w:r>
        <w:t>Use a log-scale y-axis for VOC concentration plots unless all values are consistently low and a linear scale provides clearer interpretation. If a linear scale is used, state that on the plate.</w:t>
      </w:r>
    </w:p>
    <w:p>
      <w:pPr>
        <w:pStyle w:val="ListBullet"/>
      </w:pPr>
      <w:r>
        <w:t>Plot detected results at the reported concentration. Estimated detects (J-qualified results) should be plotted as detections and identified in the notes.</w:t>
      </w:r>
    </w:p>
    <w:p>
      <w:pPr>
        <w:pStyle w:val="ListBullet"/>
      </w:pPr>
      <w:r>
        <w:t>Plot nondetect results at the reporting limit or method detection limit used by the historical data table, using an open symbol. The plate must state the nondetect convention.</w:t>
      </w:r>
    </w:p>
    <w:p>
      <w:pPr>
        <w:pStyle w:val="ListBullet"/>
      </w:pPr>
      <w:r>
        <w:t>Do not connect a trend line through long gaps without showing the actual sampling dates. Use the date axis rather than equal spacing between events.</w:t>
      </w:r>
    </w:p>
    <w:p>
      <w:pPr>
        <w:pStyle w:val="ListBullet"/>
      </w:pPr>
      <w:r>
        <w:t>Use BCT-CSL reference lines for COCs with screening levels.</w:t>
      </w:r>
    </w:p>
    <w:p>
      <w:pPr>
        <w:pStyle w:val="ListBullet"/>
      </w:pPr>
      <w:r>
        <w:t>Where parent and duplicate results are available, use the parent sample as the primary plotted result and show the duplicate in the recent-event table or as a paired marker if needed for interpretation.</w:t>
      </w:r>
    </w:p>
    <w:p>
      <w:pPr>
        <w:pStyle w:val="ListBullet"/>
      </w:pPr>
      <w:r>
        <w:t>Do not use precipitation, groundwater elevation, or ORP/DO alone as evidence of MNA performance.</w:t>
      </w:r>
    </w:p>
    <w:p>
      <w:pPr>
        <w:pStyle w:val="Heading1"/>
      </w:pPr>
      <w:r>
        <w:t>6. Trend Interpretation Conventions</w:t>
      </w:r>
    </w:p>
    <w:p>
      <w:r>
        <w:t>Trend plates should distinguish long-term statistical trend, recent concentration behavior, and current-year exceedance status. These are related but not interchangeable. A well can show a long-term increasing trend while also showing a recent decrease from a historical peak; the plate and main-report text must identify that distinction explicitly.</w:t>
      </w:r>
    </w:p>
    <w:p>
      <w:pPr>
        <w:spacing w:before="160" w:after="80"/>
        <w:jc w:val="center"/>
      </w:pPr>
      <w:r>
        <w:rPr>
          <w:rFonts w:ascii="Arial" w:hAnsi="Arial"/>
          <w:b/>
          <w:sz w:val="18"/>
        </w:rPr>
        <w:t>Table D-4. Trend Interpretation Categories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3360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Definition</w:t>
            </w:r>
          </w:p>
        </w:tc>
        <w:tc>
          <w:tcPr>
            <w:tcW w:type="dxa" w:w="3360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Use limitation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Long-term trend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Mann-Kendall or equivalent historical trend result where the dataset supports a valid statistical assessment.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Use only after final trend calculations are confirmed.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Recent direction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Comparison of recent events, generally the last three sampling events or the period most relevant to current remedy performance.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Use to explain current-year behavior without overstating statistical significance.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Current exceedance status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2025 COC result compared to applicable BCT-CSL.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Controls whether the well is included in the main exceedance table and priority plate set.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MNA interpretation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Combined interpretation of parent/daughter product behavior, reducing conditions, dissolved gases, and geochemical indicators.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Avoid conclusions based on a single indicator.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2026 action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Recommended monitoring category, follow-up, or optimization action.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Must be tied to monitoring objectives or a 2025 finding.</w:t>
            </w:r>
          </w:p>
        </w:tc>
      </w:tr>
    </w:tbl>
    <w:p>
      <w:pPr>
        <w:pStyle w:val="Heading1"/>
      </w:pPr>
      <w:r>
        <w:t>7. Data Qualifiers and Use Limitations</w:t>
      </w:r>
    </w:p>
    <w:p>
      <w:r>
        <w:t>Validated data should be used as reported. Qualifiers that affect interpretation should be carried into the plate notes and cross-referenced to the DUVR. The main report should summarize only those limitations that affect remedy-performance interpretation.</w:t>
      </w:r>
    </w:p>
    <w:p>
      <w:pPr>
        <w:spacing w:before="160" w:after="80"/>
        <w:jc w:val="center"/>
      </w:pPr>
      <w:r>
        <w:rPr>
          <w:rFonts w:ascii="Arial" w:hAnsi="Arial"/>
          <w:b/>
          <w:sz w:val="18"/>
        </w:rPr>
        <w:t>Table D-5. Qualifier and Data-Use Conventions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Qualifier / issue</w:t>
            </w:r>
          </w:p>
        </w:tc>
        <w:tc>
          <w:tcPr>
            <w:tcW w:type="dxa" w:w="3360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3360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Appendix D treatment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U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Analyte not detected at or above the associated reporting limit.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Plot as nondetect at the reporting limit using open symbol; do not treat as zero.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J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Estimated detected concentration.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Plot as detection and note estimated status.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UJ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Estimated nondetect/reporting limit.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Plot as nondetect at estimated reporting limit; note limitation if used in interpretation.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R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Rejected result.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Do not use for trend or exceedance interpretation unless a qualified professional documents a specific limited use.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Field duplicate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Independent field QC sample.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Use to evaluate reproducibility; do not duplicate-count exceedances.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A39L092DP limitation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2025 VOC nondetects were qualified UJ due to bottle headspace/bubble, and iron/chloride/TOC were qualified J due to duplicate criterion exceedance.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Use cautiously for MNA interpretation; footnote any plate or table that relies on A39L092DP.</w:t>
            </w:r>
          </w:p>
        </w:tc>
      </w:tr>
    </w:tbl>
    <w:p>
      <w:pPr>
        <w:pStyle w:val="Heading1"/>
      </w:pPr>
      <w:r>
        <w:t>8. Appendix D QA/QC Checklist</w:t>
      </w:r>
    </w:p>
    <w:p>
      <w:r>
        <w:rPr>
          <w:b/>
        </w:rPr>
        <w:t xml:space="preserve">[ ] </w:t>
      </w:r>
      <w:r>
        <w:t>Plate well ID matches Table 3-1, Table 4-1, Figure 4-1, and the historical data workbook.</w:t>
      </w:r>
    </w:p>
    <w:p>
      <w:r>
        <w:rPr>
          <w:b/>
        </w:rPr>
        <w:t xml:space="preserve">[ ] </w:t>
      </w:r>
      <w:r>
        <w:t>Plate site area and groundwater zone match the monitoring-scope matrix and GIS input table.</w:t>
      </w:r>
    </w:p>
    <w:p>
      <w:r>
        <w:rPr>
          <w:b/>
        </w:rPr>
        <w:t xml:space="preserve">[ ] </w:t>
      </w:r>
      <w:r>
        <w:t>COCs plotted are limited to those needed for the well-specific remedy-performance story.</w:t>
      </w:r>
    </w:p>
    <w:p>
      <w:r>
        <w:rPr>
          <w:b/>
        </w:rPr>
        <w:t xml:space="preserve">[ ] </w:t>
      </w:r>
      <w:r>
        <w:t>BCT-CSL lines and values match Table 2-1.</w:t>
      </w:r>
    </w:p>
    <w:p>
      <w:r>
        <w:rPr>
          <w:b/>
        </w:rPr>
        <w:t xml:space="preserve">[ ] </w:t>
      </w:r>
      <w:r>
        <w:t>2025 result labels match the final analytical summary and DUVR qualifiers.</w:t>
      </w:r>
    </w:p>
    <w:p>
      <w:r>
        <w:rPr>
          <w:b/>
        </w:rPr>
        <w:t xml:space="preserve">[ ] </w:t>
      </w:r>
      <w:r>
        <w:t>Nondetect plotting convention is stated on each plate.</w:t>
      </w:r>
    </w:p>
    <w:p>
      <w:r>
        <w:rPr>
          <w:b/>
        </w:rPr>
        <w:t xml:space="preserve">[ ] </w:t>
      </w:r>
      <w:r>
        <w:t>Parent/duplicate sample handling is documented and duplicate results are not double-counted.</w:t>
      </w:r>
    </w:p>
    <w:p>
      <w:r>
        <w:rPr>
          <w:b/>
        </w:rPr>
        <w:t xml:space="preserve">[ ] </w:t>
      </w:r>
      <w:r>
        <w:t>Long-term trend and recent direction are not conflated.</w:t>
      </w:r>
    </w:p>
    <w:p>
      <w:r>
        <w:rPr>
          <w:b/>
        </w:rPr>
        <w:t xml:space="preserve">[ ] </w:t>
      </w:r>
      <w:r>
        <w:t>MNA interpretation is supported by VOC trends plus geochemical/dissolved-gas evidence where available.</w:t>
      </w:r>
    </w:p>
    <w:p>
      <w:r>
        <w:rPr>
          <w:b/>
        </w:rPr>
        <w:t xml:space="preserve">[ ] </w:t>
      </w:r>
      <w:r>
        <w:t>2026 action statement matches Table 5-1 and does not introduce unsupported recommendations.</w:t>
      </w:r>
    </w:p>
    <w:p>
      <w:pPr>
        <w:pStyle w:val="Heading1"/>
      </w:pPr>
      <w:r>
        <w:t>9. Limitations</w:t>
      </w:r>
    </w:p>
    <w:p>
      <w:pPr>
        <w:pStyle w:val="ListBullet"/>
      </w:pPr>
      <w:r>
        <w:t>Appendix D is a trend-support appendix and is not intended to re-establish the remedy, recreate the historical site investigation record, or replace the final validated analytical tables.</w:t>
      </w:r>
    </w:p>
    <w:p>
      <w:pPr>
        <w:pStyle w:val="ListBullet"/>
      </w:pPr>
      <w:r>
        <w:t>Trend plates are intended to support annual remedy-performance evaluation and monitoring optimization. They are not a substitute for a formal statistical trend report unless the final AMR explicitly adopts them for that purpose.</w:t>
      </w:r>
    </w:p>
    <w:p>
      <w:pPr>
        <w:pStyle w:val="ListBullet"/>
      </w:pPr>
      <w:r>
        <w:t>Historical data may include different analytical methods, reporting limits, sample timing, and validation practices. These differences should be considered when interpreting older data.</w:t>
      </w:r>
    </w:p>
    <w:p>
      <w:pPr>
        <w:pStyle w:val="ListBullet"/>
      </w:pPr>
      <w:r>
        <w:t>Precipitation and groundwater-elevation panels provide context but do not independently establish cause-and-effect relationships for VOC concentration changes.</w:t>
      </w:r>
    </w:p>
    <w:p>
      <w:pPr>
        <w:pStyle w:val="ListBullet"/>
      </w:pPr>
      <w:r>
        <w:t>The final Appendix D package should be updated after final analytical table QA/QC, trend-plate production, AF review, and any required backcheck.</w:t>
      </w:r>
    </w:p>
    <w:p>
      <w:pPr>
        <w:pStyle w:val="Heading1"/>
      </w:pPr>
      <w:r>
        <w:t>10. References</w:t>
      </w:r>
    </w:p>
    <w:p>
      <w:pPr>
        <w:ind w:left="360" w:hanging="360"/>
      </w:pPr>
      <w:r>
        <w:t>FPM Remediations, Inc. (FPM). 2023. Final Amended Work Plan for Remedial Action-Operation at SS045 (SWMU 332) and for Long-Term Management at LF015 (SWMU 41), former England Air Force Base, Alexandria, Louisiana. June.</w:t>
      </w:r>
    </w:p>
    <w:p>
      <w:pPr>
        <w:ind w:left="360" w:hanging="360"/>
      </w:pPr>
      <w:r>
        <w:t>FPM. 2026. Final 2026 Basewide Corrective Measures Implementation Work Plan for Land Use Controls, Former England Air Force Base, Alexandria, Louisiana. April.</w:t>
      </w:r>
    </w:p>
    <w:p>
      <w:pPr>
        <w:ind w:left="360" w:hanging="360"/>
      </w:pPr>
      <w:r>
        <w:t>Shaw Environmental &amp; Infrastructure, Inc. (Shaw). 2010. Final Operating Properly and Successfully Report, Site SS-45, Former England Air Force Base, Louisiana. October.</w:t>
      </w:r>
    </w:p>
    <w:p>
      <w:pPr>
        <w:ind w:left="360" w:hanging="360"/>
      </w:pPr>
      <w:r>
        <w:t>U.S. Environmental Protection Agency (USEPA). 1998. Technical Protocol for Evaluating Natural Attenuation of Chlorinated Solvents in Ground Water. EPA/600/R-98/128. September.</w:t>
      </w:r>
    </w:p>
    <w:p>
      <w:pPr>
        <w:ind w:left="360" w:hanging="360"/>
      </w:pPr>
      <w:r>
        <w:t>USEPA. 1999. Use of Monitored Natural Attenuation at Superfund, RCRA Corrective Action, and Underground Storage Tank Sites. OSWER Directive 9200.4-17P. April 21.</w:t>
      </w:r>
    </w:p>
    <w:p>
      <w:pPr>
        <w:ind w:left="360" w:hanging="360"/>
      </w:pPr>
      <w:r>
        <w:t>USEPA and U.S. Army Corps of Engineers. 2005. Roadmap to Long-Term Monitoring Optimization. EPA 542-R-05-003. May.</w:t>
      </w:r>
    </w:p>
    <w:p>
      <w:pPr>
        <w:ind w:left="360" w:hanging="360"/>
      </w:pPr>
      <w:r>
        <w:t>2025 SS045 Data Verification and Usability Report, analytical reports, field documentation, and historical data summary workbooks prepared for the 2025 AMR.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Appendix D Data Use Summary | Page </w:t>
    </w:r>
    <w:r>
      <w:rPr>
        <w:rFonts w:ascii="Arial" w:hAnsi="Arial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6"/>
      </w:rPr>
      <w:t>Appendix D – Historical Data and Trend Evaluation | 2025 SS045 AMR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