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02" w:rsidRDefault="000E4C30">
      <w:pPr>
        <w:spacing w:line="48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Figure 1: Regional distribution of households in different poverty dynamics categories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fi-FI" w:eastAsia="fi-FI"/>
        </w:rPr>
        <w:drawing>
          <wp:inline distT="0" distB="0" distL="0" distR="0">
            <wp:extent cx="4800600" cy="48006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CD2A4C">
        <w:rPr>
          <w:rFonts w:ascii="Times New Roman" w:hAnsi="Times New Roman" w:cs="Times New Roman"/>
          <w:sz w:val="24"/>
          <w:szCs w:val="24"/>
        </w:rPr>
        <w:t>Authors’</w:t>
      </w:r>
      <w:r>
        <w:rPr>
          <w:rFonts w:ascii="Times New Roman" w:hAnsi="Times New Roman" w:cs="Times New Roman"/>
          <w:sz w:val="24"/>
          <w:szCs w:val="24"/>
        </w:rPr>
        <w:t xml:space="preserve"> calculations from the UNPS.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Figure 2: Time to fetch water in 2005/06 and poverty dynamics</w:t>
      </w:r>
    </w:p>
    <w:p w:rsidR="007C4802" w:rsidRDefault="00DE6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695">
        <w:rPr>
          <w:rFonts w:ascii="Times New Roman" w:hAnsi="Times New Roman" w:cs="Times New Roman"/>
          <w:noProof/>
          <w:sz w:val="24"/>
          <w:szCs w:val="24"/>
          <w:lang w:val="fi-FI" w:eastAsia="fi-FI"/>
        </w:rPr>
        <w:drawing>
          <wp:inline distT="0" distB="0" distL="0" distR="0" wp14:anchorId="40DE4087" wp14:editId="295E5329">
            <wp:extent cx="5353050" cy="499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CD2A4C">
        <w:rPr>
          <w:rFonts w:ascii="Times New Roman" w:hAnsi="Times New Roman" w:cs="Times New Roman"/>
          <w:sz w:val="24"/>
          <w:szCs w:val="24"/>
        </w:rPr>
        <w:t>Authors’</w:t>
      </w:r>
      <w:r>
        <w:rPr>
          <w:rFonts w:ascii="Times New Roman" w:hAnsi="Times New Roman" w:cs="Times New Roman"/>
          <w:sz w:val="24"/>
          <w:szCs w:val="24"/>
        </w:rPr>
        <w:t xml:space="preserve"> calculations from the UNPS.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r>
        <w:br w:type="page"/>
      </w:r>
    </w:p>
    <w:p w:rsidR="007C4802" w:rsidRDefault="000E4C30">
      <w:p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3: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bookmarkStart w:id="1" w:name="__UnoMark__63_189543302"/>
      <w:bookmarkEnd w:id="1"/>
      <w:r>
        <w:rPr>
          <w:rFonts w:ascii="Times New Roman" w:hAnsi="Times New Roman" w:cs="Times New Roman"/>
          <w:sz w:val="24"/>
          <w:szCs w:val="24"/>
        </w:rPr>
        <w:t>ousehold size and child dependency ratios in 2005/06</w:t>
      </w:r>
    </w:p>
    <w:p w:rsidR="007C4802" w:rsidRDefault="000E4C30">
      <w:r w:rsidRPr="000E4C30">
        <w:rPr>
          <w:noProof/>
          <w:lang w:val="fi-FI" w:eastAsia="fi-FI"/>
        </w:rPr>
        <w:drawing>
          <wp:inline distT="0" distB="0" distL="0" distR="0" wp14:anchorId="3F793896" wp14:editId="287CB22D">
            <wp:extent cx="5327650" cy="5264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CD2A4C">
        <w:rPr>
          <w:rFonts w:ascii="Times New Roman" w:hAnsi="Times New Roman" w:cs="Times New Roman"/>
          <w:sz w:val="24"/>
          <w:szCs w:val="24"/>
        </w:rPr>
        <w:t>Authors’</w:t>
      </w:r>
      <w:r>
        <w:rPr>
          <w:rFonts w:ascii="Times New Roman" w:hAnsi="Times New Roman" w:cs="Times New Roman"/>
          <w:sz w:val="24"/>
          <w:szCs w:val="24"/>
        </w:rPr>
        <w:t xml:space="preserve"> calculations from the UNPS.</w:t>
      </w:r>
    </w:p>
    <w:p w:rsidR="007C4802" w:rsidRDefault="000E4C30">
      <w:r>
        <w:br w:type="page"/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4:</w:t>
      </w:r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Distance (in kilometers) to health infrastructure in 2005/06</w:t>
      </w:r>
    </w:p>
    <w:p w:rsidR="007C4802" w:rsidRDefault="000E4C30">
      <w:r>
        <w:rPr>
          <w:noProof/>
          <w:lang w:val="fi-FI" w:eastAsia="fi-FI"/>
        </w:rPr>
        <w:drawing>
          <wp:inline distT="0" distB="0" distL="0" distR="0" wp14:anchorId="3239B4BE" wp14:editId="6AD7B998">
            <wp:extent cx="4800600" cy="48006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CD2A4C">
        <w:rPr>
          <w:rFonts w:ascii="Times New Roman" w:hAnsi="Times New Roman" w:cs="Times New Roman"/>
          <w:sz w:val="24"/>
          <w:szCs w:val="24"/>
        </w:rPr>
        <w:t>Authors’</w:t>
      </w:r>
      <w:r>
        <w:rPr>
          <w:rFonts w:ascii="Times New Roman" w:hAnsi="Times New Roman" w:cs="Times New Roman"/>
          <w:sz w:val="24"/>
          <w:szCs w:val="24"/>
        </w:rPr>
        <w:t xml:space="preserve"> calculations from the UNPS.</w:t>
      </w:r>
    </w:p>
    <w:p w:rsidR="007C4802" w:rsidRDefault="000E4C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4802" w:rsidRDefault="000E4C3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5: Average number of days per year inactive due to illness reported in 2005/06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fi-FI" w:eastAsia="fi-FI"/>
        </w:rPr>
        <w:drawing>
          <wp:inline distT="0" distB="0" distL="0" distR="0" wp14:anchorId="0441D69E" wp14:editId="6CD31428">
            <wp:extent cx="4800600" cy="48006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CD2A4C">
        <w:rPr>
          <w:rFonts w:ascii="Times New Roman" w:hAnsi="Times New Roman" w:cs="Times New Roman"/>
          <w:sz w:val="24"/>
          <w:szCs w:val="24"/>
        </w:rPr>
        <w:t>Authors’</w:t>
      </w:r>
      <w:r>
        <w:rPr>
          <w:rFonts w:ascii="Times New Roman" w:hAnsi="Times New Roman" w:cs="Times New Roman"/>
          <w:sz w:val="24"/>
          <w:szCs w:val="24"/>
        </w:rPr>
        <w:t xml:space="preserve"> calculations from the UNPS. Includes household heads that did not report illness with days inactive set to zero.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r>
        <w:br w:type="page"/>
      </w:r>
    </w:p>
    <w:p w:rsidR="007C4802" w:rsidRDefault="000E4C30" w:rsidP="000E4C30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6:</w:t>
      </w:r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Coping with adverse shocks reported in 2005/06</w:t>
      </w:r>
    </w:p>
    <w:p w:rsidR="007C4802" w:rsidRDefault="00DE6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695">
        <w:rPr>
          <w:rFonts w:ascii="Times New Roman" w:hAnsi="Times New Roman" w:cs="Times New Roman"/>
          <w:noProof/>
          <w:sz w:val="24"/>
          <w:szCs w:val="24"/>
          <w:lang w:val="fi-FI" w:eastAsia="fi-FI"/>
        </w:rPr>
        <w:drawing>
          <wp:inline distT="0" distB="0" distL="0" distR="0" wp14:anchorId="24155457" wp14:editId="61515FCD">
            <wp:extent cx="5378450" cy="537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CD2A4C">
        <w:rPr>
          <w:rFonts w:ascii="Times New Roman" w:hAnsi="Times New Roman" w:cs="Times New Roman"/>
          <w:sz w:val="24"/>
          <w:szCs w:val="24"/>
        </w:rPr>
        <w:t>Authors’</w:t>
      </w:r>
      <w:r>
        <w:rPr>
          <w:rFonts w:ascii="Times New Roman" w:hAnsi="Times New Roman" w:cs="Times New Roman"/>
          <w:sz w:val="24"/>
          <w:szCs w:val="24"/>
        </w:rPr>
        <w:t xml:space="preserve"> calculations from the UNPS. Points are proportions of households reporting item as main way to cope with shocks.</w:t>
      </w:r>
    </w:p>
    <w:p w:rsidR="007C4802" w:rsidRDefault="007C4802"/>
    <w:sectPr w:rsidR="007C48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02"/>
    <w:rsid w:val="000E4C30"/>
    <w:rsid w:val="007C4802"/>
    <w:rsid w:val="00CD2A4C"/>
    <w:rsid w:val="00D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F0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4C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F0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4C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</Words>
  <Characters>795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Campenhout, Bjorn (IFPRI-Kampala)</dc:creator>
  <cp:lastModifiedBy>Lorraine Telfer-Taivainen</cp:lastModifiedBy>
  <cp:revision>2</cp:revision>
  <dcterms:created xsi:type="dcterms:W3CDTF">2015-04-22T06:52:00Z</dcterms:created>
  <dcterms:modified xsi:type="dcterms:W3CDTF">2015-04-22T06:52:00Z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IFPRI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