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Figure 1: Regional distribution of households in different poverty dynamics categories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Figure 2: Time to fetch water in 2005/06 and poverty dynamics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3850" cy="4984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r>
        <w:br w:type="page"/>
      </w:r>
    </w:p>
    <w:p w:rsidR="007C4802" w:rsidRDefault="000E4C30">
      <w:p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3: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bookmarkStart w:id="0" w:name="__UnoMark__63_189543302"/>
      <w:bookmarkEnd w:id="0"/>
      <w:r>
        <w:rPr>
          <w:rFonts w:ascii="Times New Roman" w:hAnsi="Times New Roman" w:cs="Times New Roman"/>
          <w:sz w:val="24"/>
          <w:szCs w:val="24"/>
        </w:rPr>
        <w:t>ousehold size and child dependency ratios in 2005/06</w:t>
      </w:r>
    </w:p>
    <w:p w:rsidR="007C4802" w:rsidRDefault="000E4C30">
      <w:r w:rsidRPr="000E4C30">
        <w:rPr>
          <w:noProof/>
        </w:rPr>
        <w:drawing>
          <wp:inline distT="0" distB="0" distL="0" distR="0">
            <wp:extent cx="5327650" cy="5264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0E4C30">
      <w:r>
        <w:br w:type="page"/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4:</w:t>
      </w:r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Distance (in kilometers) to health infrastructure in 2005/06</w:t>
      </w:r>
    </w:p>
    <w:p w:rsidR="007C4802" w:rsidRDefault="000E4C30"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7C4802" w:rsidRDefault="000E4C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C4802" w:rsidRDefault="000E4C3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5: Average number of days per year </w:t>
      </w:r>
      <w:r>
        <w:rPr>
          <w:rFonts w:ascii="Times New Roman" w:hAnsi="Times New Roman" w:cs="Times New Roman"/>
          <w:sz w:val="24"/>
          <w:szCs w:val="24"/>
        </w:rPr>
        <w:t>inactive due to illness reported in 2005/06</w:t>
      </w:r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Source: Author's calculations from the UNPS. Includes household heads that did not report illness with days inactive set to zero.</w:t>
      </w:r>
    </w:p>
    <w:p w:rsidR="007C4802" w:rsidRDefault="007C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4802" w:rsidRDefault="000E4C30">
      <w:r>
        <w:br w:type="page"/>
      </w:r>
    </w:p>
    <w:p w:rsidR="007C4802" w:rsidRDefault="000E4C30" w:rsidP="000E4C30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6:</w:t>
      </w:r>
      <w:r>
        <w:rPr>
          <w:rFonts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Coping with adverse shocks reported in 2005/06</w:t>
      </w:r>
      <w:bookmarkStart w:id="1" w:name="_GoBack"/>
      <w:bookmarkEnd w:id="1"/>
    </w:p>
    <w:p w:rsidR="007C4802" w:rsidRDefault="000E4C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02" w:rsidRDefault="000E4C3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Source: Author's calculations from the UNPS. Points are p</w:t>
      </w:r>
      <w:r>
        <w:rPr>
          <w:rFonts w:ascii="Times New Roman" w:hAnsi="Times New Roman" w:cs="Times New Roman"/>
          <w:sz w:val="24"/>
          <w:szCs w:val="24"/>
        </w:rPr>
        <w:t>roportions of households reporting item as main way to cope with shocks.</w:t>
      </w:r>
    </w:p>
    <w:p w:rsidR="007C4802" w:rsidRDefault="007C4802"/>
    <w:sectPr w:rsidR="007C48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02"/>
    <w:rsid w:val="000E4C30"/>
    <w:rsid w:val="007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9FAA8-8EF3-4214-8552-81ED6F4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3F0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Campenhout, Bjorn (IFPRI-Kampala)</dc:creator>
  <cp:lastModifiedBy>Microsoft account</cp:lastModifiedBy>
  <cp:revision>2</cp:revision>
  <dcterms:created xsi:type="dcterms:W3CDTF">2015-04-20T12:37:00Z</dcterms:created>
  <dcterms:modified xsi:type="dcterms:W3CDTF">2015-04-20T12:37:00Z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IFPRI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