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Figure 1: Regional distribution of households in different poverty dynamics categories</w:t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Figure 2: Time to fetch water in 2005/06 and poverty dynamics</w:t>
      </w:r>
    </w:p>
    <w:p w:rsidR="007C4802" w:rsidRDefault="004A17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7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4650" cy="499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r>
        <w:br w:type="page"/>
      </w:r>
    </w:p>
    <w:p w:rsidR="007C4802" w:rsidRDefault="000E4C30">
      <w:p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3: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bookmarkStart w:id="1" w:name="__UnoMark__63_189543302"/>
      <w:bookmarkEnd w:id="1"/>
      <w:r>
        <w:rPr>
          <w:rFonts w:ascii="Times New Roman" w:hAnsi="Times New Roman" w:cs="Times New Roman"/>
          <w:sz w:val="24"/>
          <w:szCs w:val="24"/>
        </w:rPr>
        <w:t>ousehold size and child dependency ratios in 2005/06</w:t>
      </w:r>
    </w:p>
    <w:p w:rsidR="007C4802" w:rsidRDefault="000E4C30">
      <w:r w:rsidRPr="000E4C30">
        <w:rPr>
          <w:noProof/>
        </w:rPr>
        <w:drawing>
          <wp:inline distT="0" distB="0" distL="0" distR="0">
            <wp:extent cx="5327650" cy="5264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7C4802" w:rsidRDefault="000E4C30">
      <w:r>
        <w:br w:type="page"/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4:</w:t>
      </w:r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Distance (in kilometers) to health infrastructure in 2005/06</w:t>
      </w:r>
    </w:p>
    <w:p w:rsidR="007C4802" w:rsidRDefault="000E4C30"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7C4802" w:rsidRDefault="000E4C3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C4802" w:rsidRDefault="000E4C3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5: Average number of days per year inactive due to illness reported in 2005/06</w:t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Source: Author's calculations from the UNPS. Includes household heads that did not report illness with days inactive set to zero.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r>
        <w:br w:type="page"/>
      </w:r>
    </w:p>
    <w:p w:rsidR="007C4802" w:rsidRDefault="000E4C30" w:rsidP="000E4C30">
      <w:pPr>
        <w:tabs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6:</w:t>
      </w:r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Coping with adverse shocks reported in 2005/06</w:t>
      </w:r>
    </w:p>
    <w:p w:rsidR="007C4802" w:rsidRDefault="00DE6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8450" cy="537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Source: Author's calculations from the UNPS. Points are proportions of households reporting item as main way to cope with shocks.</w:t>
      </w:r>
    </w:p>
    <w:p w:rsidR="007C4802" w:rsidRDefault="007C4802"/>
    <w:sectPr w:rsidR="007C48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02"/>
    <w:rsid w:val="000E4C30"/>
    <w:rsid w:val="004A1732"/>
    <w:rsid w:val="007C4802"/>
    <w:rsid w:val="00D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9FAA8-8EF3-4214-8552-81ED6F4E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3F0"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Campenhout, Bjorn (IFPRI-Kampala)</dc:creator>
  <cp:lastModifiedBy>Microsoft account</cp:lastModifiedBy>
  <cp:revision>3</cp:revision>
  <dcterms:created xsi:type="dcterms:W3CDTF">2015-04-22T06:30:00Z</dcterms:created>
  <dcterms:modified xsi:type="dcterms:W3CDTF">2015-04-24T07:22:00Z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IFPRI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