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EC4" w:rsidRPr="00C16F6B" w:rsidRDefault="00C16F6B" w:rsidP="00C16F6B">
      <w:pPr>
        <w:rPr>
          <w:i/>
          <w:iCs/>
          <w:lang w:val="en-GB"/>
        </w:rPr>
      </w:pPr>
      <w:r w:rsidRPr="00560C42">
        <w:rPr>
          <w:b/>
          <w:lang w:val="en-GB"/>
        </w:rPr>
        <w:t>Uganda</w:t>
      </w:r>
      <w:r w:rsidRPr="00560C42">
        <w:rPr>
          <w:i/>
          <w:iCs/>
          <w:lang w:val="en-GB"/>
        </w:rPr>
        <w:br/>
      </w:r>
      <w:r w:rsidRPr="00C16F6B">
        <w:rPr>
          <w:i/>
          <w:iCs/>
          <w:lang w:val="en-GB"/>
        </w:rPr>
        <w:t>Bjorn Van Campenhout, Haruna Sekabira, and Fiona Nattembo</w:t>
      </w:r>
    </w:p>
    <w:p w:rsidR="00845EC4" w:rsidRPr="00560C42" w:rsidRDefault="00C16F6B" w:rsidP="00560C42">
      <w:pPr>
        <w:rPr>
          <w:i/>
          <w:lang w:val="en-GB"/>
        </w:rPr>
      </w:pPr>
      <w:r w:rsidRPr="00560C42">
        <w:rPr>
          <w:i/>
          <w:lang w:val="en-GB"/>
        </w:rPr>
        <w:t>Abstract</w:t>
      </w:r>
    </w:p>
    <w:p w:rsidR="00845EC4" w:rsidRPr="00560C42" w:rsidRDefault="00C16F6B" w:rsidP="00560C42">
      <w:pPr>
        <w:rPr>
          <w:i/>
          <w:lang w:val="en-GB"/>
        </w:rPr>
      </w:pPr>
      <w:r w:rsidRPr="00560C42">
        <w:rPr>
          <w:i/>
          <w:lang w:val="en-GB"/>
        </w:rPr>
        <w:t xml:space="preserve">Uganda has seen impressive growth, coupled with substantial poverty reductions over the past few decades. However, recent research relying on non-monetary wealth indicators </w:t>
      </w:r>
      <w:r w:rsidR="0047570C">
        <w:rPr>
          <w:i/>
          <w:lang w:val="en-GB"/>
        </w:rPr>
        <w:t>suggests</w:t>
      </w:r>
      <w:r w:rsidRPr="00560C42">
        <w:rPr>
          <w:i/>
          <w:lang w:val="en-GB"/>
        </w:rPr>
        <w:t xml:space="preserve"> much more modest progress. We argue that an outdated poverty line that does not take into consideration the spatial variation of diets in Uganda can explain much of the paradox. We estimate new poverty lines using the Uganda National Household Survey of 2012/13. </w:t>
      </w:r>
      <w:r w:rsidR="0047570C">
        <w:rPr>
          <w:i/>
          <w:lang w:val="en-GB"/>
        </w:rPr>
        <w:t>P</w:t>
      </w:r>
      <w:r w:rsidR="0047570C" w:rsidRPr="00560C42">
        <w:rPr>
          <w:i/>
          <w:lang w:val="en-GB"/>
        </w:rPr>
        <w:t>overty levels and geographical poverty patterns are much closer to those suggested by studies that use non-monetary wealth indicators</w:t>
      </w:r>
      <w:r w:rsidR="0047570C">
        <w:rPr>
          <w:i/>
          <w:lang w:val="en-GB"/>
        </w:rPr>
        <w:t xml:space="preserve"> when we use u</w:t>
      </w:r>
      <w:r w:rsidRPr="00560C42">
        <w:rPr>
          <w:i/>
          <w:lang w:val="en-GB"/>
        </w:rPr>
        <w:t>tility consistent poverty lines using six spatial domains</w:t>
      </w:r>
      <w:r w:rsidR="0047570C">
        <w:rPr>
          <w:i/>
          <w:lang w:val="en-GB"/>
        </w:rPr>
        <w:t>.</w:t>
      </w:r>
      <w:r w:rsidRPr="00560C42">
        <w:rPr>
          <w:i/>
          <w:lang w:val="en-GB"/>
        </w:rPr>
        <w:t xml:space="preserve"> </w:t>
      </w:r>
    </w:p>
    <w:p w:rsidR="00845EC4" w:rsidRPr="00560C42" w:rsidRDefault="00C16F6B" w:rsidP="00560C42">
      <w:pPr>
        <w:rPr>
          <w:b/>
        </w:rPr>
      </w:pPr>
      <w:r w:rsidRPr="00560C42">
        <w:rPr>
          <w:b/>
        </w:rPr>
        <w:t>Introduction</w:t>
      </w:r>
    </w:p>
    <w:p w:rsidR="00845EC4" w:rsidRDefault="00C16F6B">
      <w:r>
        <w:t xml:space="preserve">During the past few decades, Uganda has experienced substantial economic growth. Especially during the nineties, Uganda outperformed other economies in Southern and Eastern Africa. Part of this accelerated growth is likely to be a peace dividend after years of civil war during the Amin and </w:t>
      </w:r>
      <w:proofErr w:type="spellStart"/>
      <w:r>
        <w:t>Obote</w:t>
      </w:r>
      <w:proofErr w:type="spellEnd"/>
      <w:r>
        <w:t xml:space="preserve"> regimes. However, some of this growth is also attributed to the far-reaching economic reforms implemented by the new government, transforming Uganda in one of the most liberal economies in </w:t>
      </w:r>
      <w:proofErr w:type="spellStart"/>
      <w:r>
        <w:t>Sub-saharan</w:t>
      </w:r>
      <w:proofErr w:type="spellEnd"/>
      <w:r>
        <w:t xml:space="preserve"> Africa (World Bank, 1993). This growth has been accompanied by equally impressive social progress. Indeed, Uganda used to be considered a show-case when it comes to reducing poverty, fighting HIV/AIDS and promoting social development (</w:t>
      </w:r>
      <w:proofErr w:type="spellStart"/>
      <w:r>
        <w:t>Dijkstra</w:t>
      </w:r>
      <w:proofErr w:type="spellEnd"/>
      <w:r>
        <w:t xml:space="preserve"> and van </w:t>
      </w:r>
      <w:proofErr w:type="spellStart"/>
      <w:r>
        <w:t>Donge</w:t>
      </w:r>
      <w:proofErr w:type="spellEnd"/>
      <w:r>
        <w:t xml:space="preserve"> 2001). Official poverty fell from about 56 percent in 92/93 to around 20 percent in 2012/13 (UBOS 2006, </w:t>
      </w:r>
      <w:proofErr w:type="spellStart"/>
      <w:r>
        <w:t>Ssewanyana</w:t>
      </w:r>
      <w:proofErr w:type="spellEnd"/>
      <w:r>
        <w:t xml:space="preserve"> and </w:t>
      </w:r>
      <w:proofErr w:type="spellStart"/>
      <w:r>
        <w:t>Kasirye</w:t>
      </w:r>
      <w:proofErr w:type="spellEnd"/>
      <w:r>
        <w:t>, 2014). These days, in terms of economic growth, Uganda has been overtaken by some of the neighboring countries, such as Tanzania and Ethiopia. While GDP growth shows a marked slowdown from 2005/06 onward (</w:t>
      </w:r>
      <w:proofErr w:type="spellStart"/>
      <w:r>
        <w:t>Duponchelle</w:t>
      </w:r>
      <w:proofErr w:type="spellEnd"/>
      <w:r>
        <w:t xml:space="preserve"> et al. 2014), official poverty statistic seem to persist their downward trend.</w:t>
      </w:r>
    </w:p>
    <w:p w:rsidR="00845EC4" w:rsidRDefault="00C16F6B">
      <w:r>
        <w:t>However, research has cautioned that the positive aggregate trends may hide less positive dynamics at a more disaggregate level</w:t>
      </w:r>
      <w:r w:rsidR="00C457D3">
        <w:t xml:space="preserve"> (Lawson et al. 2006)</w:t>
      </w:r>
      <w:r>
        <w:t xml:space="preserve">. For instance, </w:t>
      </w:r>
      <w:proofErr w:type="spellStart"/>
      <w:r>
        <w:t>Emwanu</w:t>
      </w:r>
      <w:proofErr w:type="spellEnd"/>
      <w:r>
        <w:t xml:space="preserve"> et al 2006 find that poverty reductions in the North were much less pronounced, and today, poverty levels in for example </w:t>
      </w:r>
      <w:proofErr w:type="spellStart"/>
      <w:r>
        <w:t>Karamoja</w:t>
      </w:r>
      <w:proofErr w:type="spellEnd"/>
      <w:r>
        <w:t xml:space="preserve"> remain disturbingly high. More recent research on poverty dynamics using a recently constructed panel data survey also point out stagnation or even a reversal in some areas (</w:t>
      </w:r>
      <w:proofErr w:type="spellStart"/>
      <w:r>
        <w:t>Ssewanyana</w:t>
      </w:r>
      <w:proofErr w:type="spellEnd"/>
      <w:r>
        <w:t xml:space="preserve"> and </w:t>
      </w:r>
      <w:proofErr w:type="spellStart"/>
      <w:r>
        <w:t>Kasirye</w:t>
      </w:r>
      <w:proofErr w:type="spellEnd"/>
      <w:r>
        <w:t xml:space="preserve">, 2004, </w:t>
      </w:r>
      <w:proofErr w:type="spellStart"/>
      <w:r>
        <w:t>Duponchelle</w:t>
      </w:r>
      <w:proofErr w:type="spellEnd"/>
      <w:r>
        <w:t xml:space="preserve"> et al 2014). More worrying is that as of late, some started to call the actual numbers into question. Levine (2012) points out significant diversions between the level and evaluation of poverty figures reported by the government of Uganda and those published by the World Bank. Both qualitative and quantitative research on asset accumulation and non-monetary poverty indicators also suggest much more modest progress.  (Daniels and Minot 2015; </w:t>
      </w:r>
      <w:proofErr w:type="spellStart"/>
      <w:r>
        <w:t>Kakande</w:t>
      </w:r>
      <w:proofErr w:type="spellEnd"/>
      <w:r>
        <w:t>, 2010). Some scholars argue that the use of a single national poverty line may bias estimates in certain areas (Appleton 2003; Jamal 1998).</w:t>
      </w:r>
    </w:p>
    <w:p w:rsidR="00845EC4" w:rsidRDefault="00A419C7">
      <w:r>
        <w:t xml:space="preserve">In </w:t>
      </w:r>
      <w:r w:rsidR="00C16F6B">
        <w:t xml:space="preserve">this chapter, we </w:t>
      </w:r>
      <w:r>
        <w:t>explore the causes of these diverging views by estimating</w:t>
      </w:r>
      <w:r w:rsidR="00C16F6B">
        <w:t xml:space="preserve"> poverty from scratch using </w:t>
      </w:r>
      <w:proofErr w:type="spellStart"/>
      <w:r w:rsidR="00C16F6B">
        <w:t>PLEASe</w:t>
      </w:r>
      <w:proofErr w:type="spellEnd"/>
      <w:r>
        <w:t xml:space="preserve"> and the most recent available dataset for Uganda</w:t>
      </w:r>
      <w:r w:rsidR="00C16F6B">
        <w:t>.</w:t>
      </w:r>
      <w:r>
        <w:t xml:space="preserve"> We feel that o</w:t>
      </w:r>
      <w:r w:rsidR="00D04625">
        <w:t>ne of the major problem</w:t>
      </w:r>
      <w:r>
        <w:t xml:space="preserve"> with the official poverty estimates is that it is based on an outdated basic needs </w:t>
      </w:r>
      <w:r>
        <w:lastRenderedPageBreak/>
        <w:t>basket</w:t>
      </w:r>
      <w:r w:rsidR="00D04625">
        <w:t xml:space="preserve"> that is unlikely to adequately reflect current consumption patterns</w:t>
      </w:r>
      <w:r>
        <w:t>. In addition, we appreciate the fact that Uganda has an unusual</w:t>
      </w:r>
      <w:r w:rsidR="00185C04">
        <w:t xml:space="preserve"> dietary diversity (Benson et al., 2008, Appleton, 2003), with for example people in the North consuming relatively more sorghum and cassava and those in the West more </w:t>
      </w:r>
      <w:proofErr w:type="spellStart"/>
      <w:r w:rsidR="00185C04">
        <w:t>matooke</w:t>
      </w:r>
      <w:proofErr w:type="spellEnd"/>
      <w:r w:rsidR="005A4DF9" w:rsidRPr="00B55AFF">
        <w:footnoteReference w:id="1"/>
      </w:r>
      <w:r w:rsidR="00185C04" w:rsidRPr="00B55AFF">
        <w:t xml:space="preserve">. </w:t>
      </w:r>
      <w:r w:rsidR="00B55AFF" w:rsidRPr="00B55AFF">
        <w:t>It is well known that in many instances - for example, if relative prices of basic commodities vary by region (or through time) and preferences permit substitution - the use of a single consumption bundle may yield inconsistent poverty comparisons (Tarp et al. 2002).</w:t>
      </w:r>
      <w:r w:rsidR="00B55AFF">
        <w:rPr>
          <w:color w:val="FF0000"/>
        </w:rPr>
        <w:t xml:space="preserve"> </w:t>
      </w:r>
      <w:r w:rsidR="005A4DF9">
        <w:t xml:space="preserve"> </w:t>
      </w:r>
      <w:r w:rsidR="00C16F6B">
        <w:t>We estimate a new set of utility consistent poverty lines taking into account the spatial variation in the cost of basic needs within Uganda and compare this to results using official Ugandan poverty lines.</w:t>
      </w:r>
    </w:p>
    <w:p w:rsidR="00560C42" w:rsidRDefault="00560C42" w:rsidP="00560C42">
      <w:r>
        <w:t xml:space="preserve">The rest of this chapter is organized as follows. A first section describes official poverty in Uganda and discusses some of the issues that have been raised with respect to these figures. </w:t>
      </w:r>
      <w:r w:rsidR="00F0687A">
        <w:t>This is followed by a reassessment of poverty in Uganda. We first briefly introduce the data we will use in this reassessment and then describe in detail how we construct the welfare indicator.</w:t>
      </w:r>
      <w:r w:rsidR="00AF777D">
        <w:t xml:space="preserve"> Next, we describe how we construct consumption bundles that are corresponding to basic needs in different locations and the next section discusses how we make sure all these bundles provide the same basic needs. We then </w:t>
      </w:r>
      <w:r w:rsidR="006E3149">
        <w:t>present the poverty estimates using the new poverty lines. A final section concludes.</w:t>
      </w:r>
      <w:r w:rsidR="00AF777D">
        <w:t xml:space="preserve"> </w:t>
      </w:r>
    </w:p>
    <w:p w:rsidR="00845EC4" w:rsidRPr="00560C42" w:rsidRDefault="00C16F6B" w:rsidP="00560C42">
      <w:pPr>
        <w:rPr>
          <w:b/>
        </w:rPr>
      </w:pPr>
      <w:r w:rsidRPr="00560C42">
        <w:rPr>
          <w:b/>
        </w:rPr>
        <w:t>Poverty in Uganda</w:t>
      </w:r>
    </w:p>
    <w:p w:rsidR="00845EC4" w:rsidRDefault="00C16F6B">
      <w:pPr>
        <w:rPr>
          <w:color w:val="000000"/>
        </w:rPr>
      </w:pPr>
      <w:r>
        <w:rPr>
          <w:color w:val="000000"/>
        </w:rPr>
        <w:t xml:space="preserve">According to official estimates, poverty has decreased substantially since the 1990s in Uganda. Table 1 draws from various reports of large scale household budget surveys that are periodically cried out by the Uganda Bureau of statistics to monitor poverty. At the national level, we see that poverty has been declining steadily over time, with the exception of 2002/3 when poverty increased slightly. The long run downward trend in poverty, from 55.5 percent to 19.7 </w:t>
      </w:r>
      <w:r w:rsidR="00B35772">
        <w:rPr>
          <w:color w:val="000000"/>
        </w:rPr>
        <w:t>percent in</w:t>
      </w:r>
      <w:r>
        <w:rPr>
          <w:color w:val="000000"/>
        </w:rPr>
        <w:t xml:space="preserve"> just twenty years means an average yearly reduction in headcount poverty of more than 3 percent. </w:t>
      </w:r>
    </w:p>
    <w:p w:rsidR="00C16F6B" w:rsidRDefault="00C16F6B">
      <w:pPr>
        <w:rPr>
          <w:color w:val="000000"/>
        </w:rPr>
      </w:pPr>
      <w:r>
        <w:rPr>
          <w:color w:val="000000"/>
        </w:rPr>
        <w:t>Table 1: Official Poverty in Uganda</w:t>
      </w:r>
    </w:p>
    <w:tbl>
      <w:tblPr>
        <w:tblW w:w="8940" w:type="dxa"/>
        <w:tblInd w:w="108" w:type="dxa"/>
        <w:tblLook w:val="04A0" w:firstRow="1" w:lastRow="0" w:firstColumn="1" w:lastColumn="0" w:noHBand="0" w:noVBand="1"/>
      </w:tblPr>
      <w:tblGrid>
        <w:gridCol w:w="1620"/>
        <w:gridCol w:w="1220"/>
        <w:gridCol w:w="1220"/>
        <w:gridCol w:w="1220"/>
        <w:gridCol w:w="1220"/>
        <w:gridCol w:w="1220"/>
        <w:gridCol w:w="1220"/>
      </w:tblGrid>
      <w:tr w:rsidR="00C16F6B" w:rsidRPr="00C16F6B" w:rsidTr="00774875">
        <w:trPr>
          <w:trHeight w:val="255"/>
        </w:trPr>
        <w:tc>
          <w:tcPr>
            <w:tcW w:w="1620" w:type="dxa"/>
            <w:tcBorders>
              <w:top w:val="thinThickSmallGap" w:sz="24" w:space="0" w:color="auto"/>
              <w:left w:val="nil"/>
              <w:bottom w:val="single" w:sz="4" w:space="0" w:color="auto"/>
              <w:right w:val="nil"/>
            </w:tcBorders>
            <w:shd w:val="clear" w:color="auto" w:fill="auto"/>
            <w:noWrap/>
            <w:vAlign w:val="bottom"/>
            <w:hideMark/>
          </w:tcPr>
          <w:p w:rsidR="00C16F6B" w:rsidRPr="00C16F6B" w:rsidRDefault="00C16F6B" w:rsidP="00C16F6B">
            <w:pPr>
              <w:suppressAutoHyphens w:val="0"/>
              <w:spacing w:after="0"/>
              <w:jc w:val="left"/>
              <w:rPr>
                <w:color w:val="auto"/>
                <w:sz w:val="20"/>
                <w:szCs w:val="20"/>
              </w:rPr>
            </w:pPr>
          </w:p>
        </w:tc>
        <w:tc>
          <w:tcPr>
            <w:tcW w:w="1220" w:type="dxa"/>
            <w:tcBorders>
              <w:top w:val="thinThickSmallGap" w:sz="24" w:space="0" w:color="auto"/>
              <w:left w:val="nil"/>
              <w:bottom w:val="single" w:sz="4" w:space="0" w:color="auto"/>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1992/3</w:t>
            </w:r>
          </w:p>
        </w:tc>
        <w:tc>
          <w:tcPr>
            <w:tcW w:w="1220" w:type="dxa"/>
            <w:tcBorders>
              <w:top w:val="thinThickSmallGap" w:sz="24" w:space="0" w:color="auto"/>
              <w:left w:val="nil"/>
              <w:bottom w:val="single" w:sz="4" w:space="0" w:color="auto"/>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1999/0</w:t>
            </w:r>
          </w:p>
        </w:tc>
        <w:tc>
          <w:tcPr>
            <w:tcW w:w="1220" w:type="dxa"/>
            <w:tcBorders>
              <w:top w:val="thinThickSmallGap" w:sz="24" w:space="0" w:color="auto"/>
              <w:left w:val="nil"/>
              <w:bottom w:val="single" w:sz="4" w:space="0" w:color="auto"/>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2002/3</w:t>
            </w:r>
          </w:p>
        </w:tc>
        <w:tc>
          <w:tcPr>
            <w:tcW w:w="1220" w:type="dxa"/>
            <w:tcBorders>
              <w:top w:val="thinThickSmallGap" w:sz="24" w:space="0" w:color="auto"/>
              <w:left w:val="nil"/>
              <w:bottom w:val="single" w:sz="4" w:space="0" w:color="auto"/>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2005/6</w:t>
            </w:r>
          </w:p>
        </w:tc>
        <w:tc>
          <w:tcPr>
            <w:tcW w:w="1220" w:type="dxa"/>
            <w:tcBorders>
              <w:top w:val="thinThickSmallGap" w:sz="24" w:space="0" w:color="auto"/>
              <w:left w:val="nil"/>
              <w:bottom w:val="single" w:sz="4" w:space="0" w:color="auto"/>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2009/10</w:t>
            </w:r>
          </w:p>
        </w:tc>
        <w:tc>
          <w:tcPr>
            <w:tcW w:w="1220" w:type="dxa"/>
            <w:tcBorders>
              <w:top w:val="thinThickSmallGap" w:sz="24" w:space="0" w:color="auto"/>
              <w:left w:val="nil"/>
              <w:bottom w:val="single" w:sz="4" w:space="0" w:color="auto"/>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2012/13</w:t>
            </w:r>
          </w:p>
        </w:tc>
      </w:tr>
      <w:tr w:rsidR="00C16F6B" w:rsidRPr="00C16F6B" w:rsidTr="00774875">
        <w:trPr>
          <w:trHeight w:val="255"/>
        </w:trPr>
        <w:tc>
          <w:tcPr>
            <w:tcW w:w="1620" w:type="dxa"/>
            <w:tcBorders>
              <w:top w:val="single" w:sz="4" w:space="0" w:color="auto"/>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r w:rsidRPr="00C16F6B">
              <w:rPr>
                <w:rFonts w:ascii="Arial" w:hAnsi="Arial" w:cs="Arial"/>
                <w:color w:val="auto"/>
                <w:sz w:val="20"/>
                <w:szCs w:val="20"/>
              </w:rPr>
              <w:t>National</w:t>
            </w:r>
          </w:p>
        </w:tc>
        <w:tc>
          <w:tcPr>
            <w:tcW w:w="1220" w:type="dxa"/>
            <w:tcBorders>
              <w:top w:val="single" w:sz="4" w:space="0" w:color="auto"/>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55.5</w:t>
            </w:r>
          </w:p>
        </w:tc>
        <w:tc>
          <w:tcPr>
            <w:tcW w:w="1220" w:type="dxa"/>
            <w:tcBorders>
              <w:top w:val="single" w:sz="4" w:space="0" w:color="auto"/>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33.8</w:t>
            </w:r>
          </w:p>
        </w:tc>
        <w:tc>
          <w:tcPr>
            <w:tcW w:w="1220" w:type="dxa"/>
            <w:tcBorders>
              <w:top w:val="single" w:sz="4" w:space="0" w:color="auto"/>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38.8</w:t>
            </w:r>
          </w:p>
        </w:tc>
        <w:tc>
          <w:tcPr>
            <w:tcW w:w="1220" w:type="dxa"/>
            <w:tcBorders>
              <w:top w:val="single" w:sz="4" w:space="0" w:color="auto"/>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31.1</w:t>
            </w:r>
          </w:p>
        </w:tc>
        <w:tc>
          <w:tcPr>
            <w:tcW w:w="1220" w:type="dxa"/>
            <w:tcBorders>
              <w:top w:val="single" w:sz="4" w:space="0" w:color="auto"/>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24.5</w:t>
            </w:r>
          </w:p>
        </w:tc>
        <w:tc>
          <w:tcPr>
            <w:tcW w:w="1220" w:type="dxa"/>
            <w:tcBorders>
              <w:top w:val="single" w:sz="4" w:space="0" w:color="auto"/>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19.7</w:t>
            </w:r>
          </w:p>
        </w:tc>
      </w:tr>
      <w:tr w:rsidR="00C16F6B" w:rsidRPr="00C16F6B" w:rsidTr="00C16F6B">
        <w:trPr>
          <w:trHeight w:val="255"/>
        </w:trPr>
        <w:tc>
          <w:tcPr>
            <w:tcW w:w="16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color w:val="auto"/>
                <w:sz w:val="20"/>
                <w:szCs w:val="20"/>
              </w:rPr>
            </w:pPr>
          </w:p>
        </w:tc>
      </w:tr>
      <w:tr w:rsidR="00C16F6B" w:rsidRPr="00C16F6B" w:rsidTr="00C16F6B">
        <w:trPr>
          <w:trHeight w:val="255"/>
        </w:trPr>
        <w:tc>
          <w:tcPr>
            <w:tcW w:w="16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r w:rsidRPr="00C16F6B">
              <w:rPr>
                <w:rFonts w:ascii="Arial" w:hAnsi="Arial" w:cs="Arial"/>
                <w:color w:val="auto"/>
                <w:sz w:val="20"/>
                <w:szCs w:val="20"/>
              </w:rPr>
              <w:t>Central</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45.6</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19.7</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22.3</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16.4</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10.7</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5.1</w:t>
            </w:r>
          </w:p>
        </w:tc>
      </w:tr>
      <w:tr w:rsidR="00C16F6B" w:rsidRPr="00C16F6B" w:rsidTr="00C16F6B">
        <w:trPr>
          <w:trHeight w:val="255"/>
        </w:trPr>
        <w:tc>
          <w:tcPr>
            <w:tcW w:w="16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r w:rsidRPr="00C16F6B">
              <w:rPr>
                <w:rFonts w:ascii="Arial" w:hAnsi="Arial" w:cs="Arial"/>
                <w:color w:val="auto"/>
                <w:sz w:val="20"/>
                <w:szCs w:val="20"/>
              </w:rPr>
              <w:t>East</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58.8</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35.0</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46.0</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35.9</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24.3</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24.1</w:t>
            </w:r>
          </w:p>
        </w:tc>
      </w:tr>
      <w:tr w:rsidR="00C16F6B" w:rsidRPr="00C16F6B" w:rsidTr="00C16F6B">
        <w:trPr>
          <w:trHeight w:val="255"/>
        </w:trPr>
        <w:tc>
          <w:tcPr>
            <w:tcW w:w="16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r w:rsidRPr="00C16F6B">
              <w:rPr>
                <w:rFonts w:ascii="Arial" w:hAnsi="Arial" w:cs="Arial"/>
                <w:color w:val="auto"/>
                <w:sz w:val="20"/>
                <w:szCs w:val="20"/>
              </w:rPr>
              <w:t>West</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53.1</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26.2</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32.9</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29.5</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21.8</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7.6</w:t>
            </w:r>
          </w:p>
        </w:tc>
      </w:tr>
      <w:tr w:rsidR="00C16F6B" w:rsidRPr="00C16F6B" w:rsidTr="00C16F6B">
        <w:trPr>
          <w:trHeight w:val="255"/>
        </w:trPr>
        <w:tc>
          <w:tcPr>
            <w:tcW w:w="16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r w:rsidRPr="00C16F6B">
              <w:rPr>
                <w:rFonts w:ascii="Arial" w:hAnsi="Arial" w:cs="Arial"/>
                <w:color w:val="auto"/>
                <w:sz w:val="20"/>
                <w:szCs w:val="20"/>
              </w:rPr>
              <w:t>North</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72.2</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63.7</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63.0</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60.7</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46.2</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43.7</w:t>
            </w:r>
          </w:p>
        </w:tc>
      </w:tr>
      <w:tr w:rsidR="00C16F6B" w:rsidRPr="00C16F6B" w:rsidTr="00C16F6B">
        <w:trPr>
          <w:trHeight w:val="255"/>
        </w:trPr>
        <w:tc>
          <w:tcPr>
            <w:tcW w:w="16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color w:val="auto"/>
                <w:sz w:val="20"/>
                <w:szCs w:val="20"/>
              </w:rPr>
            </w:pPr>
          </w:p>
        </w:tc>
      </w:tr>
      <w:tr w:rsidR="00C16F6B" w:rsidRPr="00C16F6B" w:rsidTr="00C16F6B">
        <w:trPr>
          <w:trHeight w:val="255"/>
        </w:trPr>
        <w:tc>
          <w:tcPr>
            <w:tcW w:w="16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r w:rsidRPr="00C16F6B">
              <w:rPr>
                <w:rFonts w:ascii="Arial" w:hAnsi="Arial" w:cs="Arial"/>
                <w:color w:val="auto"/>
                <w:sz w:val="20"/>
                <w:szCs w:val="20"/>
              </w:rPr>
              <w:t>Kampala</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4.7</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4.4</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4.0</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0.7</w:t>
            </w:r>
          </w:p>
        </w:tc>
      </w:tr>
      <w:tr w:rsidR="00C16F6B" w:rsidRPr="00C16F6B" w:rsidTr="00C16F6B">
        <w:trPr>
          <w:trHeight w:val="255"/>
        </w:trPr>
        <w:tc>
          <w:tcPr>
            <w:tcW w:w="16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r w:rsidRPr="00C16F6B">
              <w:rPr>
                <w:rFonts w:ascii="Arial" w:hAnsi="Arial" w:cs="Arial"/>
                <w:color w:val="auto"/>
                <w:sz w:val="20"/>
                <w:szCs w:val="20"/>
              </w:rPr>
              <w:t>Central 1</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22.0</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18.8</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11.2</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3.7</w:t>
            </w:r>
          </w:p>
        </w:tc>
      </w:tr>
      <w:tr w:rsidR="00C16F6B" w:rsidRPr="00C16F6B" w:rsidTr="00C16F6B">
        <w:trPr>
          <w:trHeight w:val="255"/>
        </w:trPr>
        <w:tc>
          <w:tcPr>
            <w:tcW w:w="16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r w:rsidRPr="00C16F6B">
              <w:rPr>
                <w:rFonts w:ascii="Arial" w:hAnsi="Arial" w:cs="Arial"/>
                <w:color w:val="auto"/>
                <w:sz w:val="20"/>
                <w:szCs w:val="20"/>
              </w:rPr>
              <w:t>Central 2</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30.0</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19.7</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13.6</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7.3</w:t>
            </w:r>
          </w:p>
        </w:tc>
      </w:tr>
      <w:tr w:rsidR="00C16F6B" w:rsidRPr="00C16F6B" w:rsidTr="00C16F6B">
        <w:trPr>
          <w:trHeight w:val="255"/>
        </w:trPr>
        <w:tc>
          <w:tcPr>
            <w:tcW w:w="16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r w:rsidRPr="00C16F6B">
              <w:rPr>
                <w:rFonts w:ascii="Arial" w:hAnsi="Arial" w:cs="Arial"/>
                <w:color w:val="auto"/>
                <w:sz w:val="20"/>
                <w:szCs w:val="20"/>
              </w:rPr>
              <w:t>East Central</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42.6</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32.7</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21.4</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24.3</w:t>
            </w:r>
          </w:p>
        </w:tc>
      </w:tr>
      <w:tr w:rsidR="00C16F6B" w:rsidRPr="00C16F6B" w:rsidTr="00C16F6B">
        <w:trPr>
          <w:trHeight w:val="255"/>
        </w:trPr>
        <w:tc>
          <w:tcPr>
            <w:tcW w:w="16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r w:rsidRPr="00C16F6B">
              <w:rPr>
                <w:rFonts w:ascii="Arial" w:hAnsi="Arial" w:cs="Arial"/>
                <w:color w:val="auto"/>
                <w:sz w:val="20"/>
                <w:szCs w:val="20"/>
              </w:rPr>
              <w:t>Eastern</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48.4</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39.2</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26.5</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24.7</w:t>
            </w:r>
          </w:p>
        </w:tc>
      </w:tr>
      <w:tr w:rsidR="00C16F6B" w:rsidRPr="00C16F6B" w:rsidTr="00C16F6B">
        <w:trPr>
          <w:trHeight w:val="255"/>
        </w:trPr>
        <w:tc>
          <w:tcPr>
            <w:tcW w:w="16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r w:rsidRPr="00C16F6B">
              <w:rPr>
                <w:rFonts w:ascii="Arial" w:hAnsi="Arial" w:cs="Arial"/>
                <w:color w:val="auto"/>
                <w:sz w:val="20"/>
                <w:szCs w:val="20"/>
              </w:rPr>
              <w:t>Mid-Northern</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57.4</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61.1</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40.4</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35.4</w:t>
            </w:r>
          </w:p>
        </w:tc>
      </w:tr>
      <w:tr w:rsidR="00C16F6B" w:rsidRPr="00C16F6B" w:rsidTr="00C16F6B">
        <w:trPr>
          <w:trHeight w:val="255"/>
        </w:trPr>
        <w:tc>
          <w:tcPr>
            <w:tcW w:w="16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r w:rsidRPr="00C16F6B">
              <w:rPr>
                <w:rFonts w:ascii="Arial" w:hAnsi="Arial" w:cs="Arial"/>
                <w:color w:val="auto"/>
                <w:sz w:val="20"/>
                <w:szCs w:val="20"/>
              </w:rPr>
              <w:lastRenderedPageBreak/>
              <w:t>North-east</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82.8</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79.3</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75.8</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74.2</w:t>
            </w:r>
          </w:p>
        </w:tc>
      </w:tr>
      <w:tr w:rsidR="00C16F6B" w:rsidRPr="00C16F6B" w:rsidTr="00C16F6B">
        <w:trPr>
          <w:trHeight w:val="255"/>
        </w:trPr>
        <w:tc>
          <w:tcPr>
            <w:tcW w:w="16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r w:rsidRPr="00C16F6B">
              <w:rPr>
                <w:rFonts w:ascii="Arial" w:hAnsi="Arial" w:cs="Arial"/>
                <w:color w:val="auto"/>
                <w:sz w:val="20"/>
                <w:szCs w:val="20"/>
              </w:rPr>
              <w:t>West Nile</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color w:val="auto"/>
                <w:sz w:val="20"/>
                <w:szCs w:val="20"/>
              </w:rPr>
            </w:pP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62.8</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55.3</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39.7</w:t>
            </w:r>
          </w:p>
        </w:tc>
        <w:tc>
          <w:tcPr>
            <w:tcW w:w="1220" w:type="dxa"/>
            <w:tcBorders>
              <w:top w:val="nil"/>
              <w:left w:val="nil"/>
              <w:bottom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42.3</w:t>
            </w:r>
          </w:p>
        </w:tc>
      </w:tr>
      <w:tr w:rsidR="00C16F6B" w:rsidRPr="00C16F6B" w:rsidTr="00774875">
        <w:trPr>
          <w:trHeight w:val="255"/>
        </w:trPr>
        <w:tc>
          <w:tcPr>
            <w:tcW w:w="1620" w:type="dxa"/>
            <w:tcBorders>
              <w:top w:val="nil"/>
              <w:left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r w:rsidRPr="00C16F6B">
              <w:rPr>
                <w:rFonts w:ascii="Arial" w:hAnsi="Arial" w:cs="Arial"/>
                <w:color w:val="auto"/>
                <w:sz w:val="20"/>
                <w:szCs w:val="20"/>
              </w:rPr>
              <w:t>Mid-western</w:t>
            </w:r>
          </w:p>
        </w:tc>
        <w:tc>
          <w:tcPr>
            <w:tcW w:w="1220" w:type="dxa"/>
            <w:tcBorders>
              <w:top w:val="nil"/>
              <w:left w:val="nil"/>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p>
        </w:tc>
        <w:tc>
          <w:tcPr>
            <w:tcW w:w="1220" w:type="dxa"/>
            <w:tcBorders>
              <w:top w:val="nil"/>
              <w:left w:val="nil"/>
              <w:right w:val="nil"/>
            </w:tcBorders>
            <w:shd w:val="clear" w:color="auto" w:fill="auto"/>
            <w:noWrap/>
            <w:vAlign w:val="bottom"/>
            <w:hideMark/>
          </w:tcPr>
          <w:p w:rsidR="00C16F6B" w:rsidRPr="00C16F6B" w:rsidRDefault="00C16F6B" w:rsidP="00C16F6B">
            <w:pPr>
              <w:suppressAutoHyphens w:val="0"/>
              <w:spacing w:after="0"/>
              <w:jc w:val="center"/>
              <w:rPr>
                <w:color w:val="auto"/>
                <w:sz w:val="20"/>
                <w:szCs w:val="20"/>
              </w:rPr>
            </w:pPr>
          </w:p>
        </w:tc>
        <w:tc>
          <w:tcPr>
            <w:tcW w:w="1220" w:type="dxa"/>
            <w:tcBorders>
              <w:top w:val="nil"/>
              <w:left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37.9</w:t>
            </w:r>
          </w:p>
        </w:tc>
        <w:tc>
          <w:tcPr>
            <w:tcW w:w="1220" w:type="dxa"/>
            <w:tcBorders>
              <w:top w:val="nil"/>
              <w:left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23.2</w:t>
            </w:r>
          </w:p>
        </w:tc>
        <w:tc>
          <w:tcPr>
            <w:tcW w:w="1220" w:type="dxa"/>
            <w:tcBorders>
              <w:top w:val="nil"/>
              <w:left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25.3</w:t>
            </w:r>
          </w:p>
        </w:tc>
        <w:tc>
          <w:tcPr>
            <w:tcW w:w="1220" w:type="dxa"/>
            <w:tcBorders>
              <w:top w:val="nil"/>
              <w:left w:val="nil"/>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9.8</w:t>
            </w:r>
          </w:p>
        </w:tc>
      </w:tr>
      <w:tr w:rsidR="00C16F6B" w:rsidRPr="00C16F6B" w:rsidTr="00774875">
        <w:trPr>
          <w:trHeight w:val="255"/>
        </w:trPr>
        <w:tc>
          <w:tcPr>
            <w:tcW w:w="1620" w:type="dxa"/>
            <w:tcBorders>
              <w:top w:val="nil"/>
              <w:left w:val="nil"/>
              <w:bottom w:val="thickThinSmallGap" w:sz="24" w:space="0" w:color="auto"/>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r w:rsidRPr="00C16F6B">
              <w:rPr>
                <w:rFonts w:ascii="Arial" w:hAnsi="Arial" w:cs="Arial"/>
                <w:color w:val="auto"/>
                <w:sz w:val="20"/>
                <w:szCs w:val="20"/>
              </w:rPr>
              <w:t>South-western</w:t>
            </w:r>
          </w:p>
        </w:tc>
        <w:tc>
          <w:tcPr>
            <w:tcW w:w="1220" w:type="dxa"/>
            <w:tcBorders>
              <w:top w:val="nil"/>
              <w:left w:val="nil"/>
              <w:bottom w:val="thickThinSmallGap" w:sz="24" w:space="0" w:color="auto"/>
              <w:right w:val="nil"/>
            </w:tcBorders>
            <w:shd w:val="clear" w:color="auto" w:fill="auto"/>
            <w:noWrap/>
            <w:vAlign w:val="bottom"/>
            <w:hideMark/>
          </w:tcPr>
          <w:p w:rsidR="00C16F6B" w:rsidRPr="00C16F6B" w:rsidRDefault="00C16F6B" w:rsidP="00C16F6B">
            <w:pPr>
              <w:suppressAutoHyphens w:val="0"/>
              <w:spacing w:after="0"/>
              <w:jc w:val="right"/>
              <w:rPr>
                <w:rFonts w:ascii="Arial" w:hAnsi="Arial" w:cs="Arial"/>
                <w:color w:val="auto"/>
                <w:sz w:val="20"/>
                <w:szCs w:val="20"/>
              </w:rPr>
            </w:pPr>
          </w:p>
        </w:tc>
        <w:tc>
          <w:tcPr>
            <w:tcW w:w="1220" w:type="dxa"/>
            <w:tcBorders>
              <w:top w:val="nil"/>
              <w:left w:val="nil"/>
              <w:bottom w:val="thickThinSmallGap" w:sz="24" w:space="0" w:color="auto"/>
              <w:right w:val="nil"/>
            </w:tcBorders>
            <w:shd w:val="clear" w:color="auto" w:fill="auto"/>
            <w:noWrap/>
            <w:vAlign w:val="bottom"/>
            <w:hideMark/>
          </w:tcPr>
          <w:p w:rsidR="00C16F6B" w:rsidRPr="00C16F6B" w:rsidRDefault="00C16F6B" w:rsidP="00C16F6B">
            <w:pPr>
              <w:suppressAutoHyphens w:val="0"/>
              <w:spacing w:after="0"/>
              <w:jc w:val="center"/>
              <w:rPr>
                <w:color w:val="auto"/>
                <w:sz w:val="20"/>
                <w:szCs w:val="20"/>
              </w:rPr>
            </w:pPr>
          </w:p>
        </w:tc>
        <w:tc>
          <w:tcPr>
            <w:tcW w:w="1220" w:type="dxa"/>
            <w:tcBorders>
              <w:top w:val="nil"/>
              <w:left w:val="nil"/>
              <w:bottom w:val="thickThinSmallGap" w:sz="24" w:space="0" w:color="auto"/>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29.0</w:t>
            </w:r>
          </w:p>
        </w:tc>
        <w:tc>
          <w:tcPr>
            <w:tcW w:w="1220" w:type="dxa"/>
            <w:tcBorders>
              <w:top w:val="nil"/>
              <w:left w:val="nil"/>
              <w:bottom w:val="thickThinSmallGap" w:sz="24" w:space="0" w:color="auto"/>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18.7</w:t>
            </w:r>
          </w:p>
        </w:tc>
        <w:tc>
          <w:tcPr>
            <w:tcW w:w="1220" w:type="dxa"/>
            <w:tcBorders>
              <w:top w:val="nil"/>
              <w:left w:val="nil"/>
              <w:bottom w:val="thickThinSmallGap" w:sz="24" w:space="0" w:color="auto"/>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18.4</w:t>
            </w:r>
          </w:p>
        </w:tc>
        <w:tc>
          <w:tcPr>
            <w:tcW w:w="1220" w:type="dxa"/>
            <w:tcBorders>
              <w:top w:val="nil"/>
              <w:left w:val="nil"/>
              <w:bottom w:val="thickThinSmallGap" w:sz="24" w:space="0" w:color="auto"/>
              <w:right w:val="nil"/>
            </w:tcBorders>
            <w:shd w:val="clear" w:color="auto" w:fill="auto"/>
            <w:noWrap/>
            <w:vAlign w:val="bottom"/>
            <w:hideMark/>
          </w:tcPr>
          <w:p w:rsidR="00C16F6B" w:rsidRPr="00C16F6B" w:rsidRDefault="00C16F6B" w:rsidP="00C16F6B">
            <w:pPr>
              <w:suppressAutoHyphens w:val="0"/>
              <w:spacing w:after="0"/>
              <w:jc w:val="center"/>
              <w:rPr>
                <w:rFonts w:ascii="Arial" w:hAnsi="Arial" w:cs="Arial"/>
                <w:color w:val="auto"/>
                <w:sz w:val="20"/>
                <w:szCs w:val="20"/>
              </w:rPr>
            </w:pPr>
            <w:r w:rsidRPr="00C16F6B">
              <w:rPr>
                <w:rFonts w:ascii="Arial" w:hAnsi="Arial" w:cs="Arial"/>
                <w:color w:val="auto"/>
                <w:sz w:val="20"/>
                <w:szCs w:val="20"/>
              </w:rPr>
              <w:t>7.6</w:t>
            </w:r>
          </w:p>
        </w:tc>
      </w:tr>
    </w:tbl>
    <w:p w:rsidR="00C16F6B" w:rsidRDefault="00C16F6B">
      <w:pPr>
        <w:rPr>
          <w:color w:val="000000"/>
        </w:rPr>
      </w:pPr>
      <w:r>
        <w:rPr>
          <w:color w:val="000000"/>
        </w:rPr>
        <w:t xml:space="preserve">Source: </w:t>
      </w:r>
      <w:r w:rsidR="00CB06A3" w:rsidRPr="00CB06A3">
        <w:rPr>
          <w:color w:val="auto"/>
        </w:rPr>
        <w:t>Uganda Bureau of Statistics (201</w:t>
      </w:r>
      <w:r w:rsidR="00CB06A3">
        <w:rPr>
          <w:color w:val="auto"/>
        </w:rPr>
        <w:t>0</w:t>
      </w:r>
      <w:r w:rsidR="00CB06A3" w:rsidRPr="00CB06A3">
        <w:rPr>
          <w:color w:val="auto"/>
        </w:rPr>
        <w:t>)</w:t>
      </w:r>
      <w:r w:rsidR="00CB06A3">
        <w:rPr>
          <w:color w:val="auto"/>
        </w:rPr>
        <w:t xml:space="preserve">, </w:t>
      </w:r>
      <w:r w:rsidR="00CB06A3" w:rsidRPr="00CB06A3">
        <w:rPr>
          <w:color w:val="auto"/>
        </w:rPr>
        <w:t>Uganda Bureau of Statistics (2014)</w:t>
      </w:r>
      <w:r w:rsidR="00CB06A3">
        <w:rPr>
          <w:color w:val="auto"/>
        </w:rPr>
        <w:t xml:space="preserve"> and Levine (2013).</w:t>
      </w:r>
    </w:p>
    <w:p w:rsidR="00845EC4" w:rsidRDefault="00C16F6B">
      <w:pPr>
        <w:rPr>
          <w:color w:val="000000"/>
        </w:rPr>
      </w:pPr>
      <w:r>
        <w:rPr>
          <w:color w:val="000000"/>
        </w:rPr>
        <w:t>However, the aggregate trend hides quite some variation in poverty reduction rates at a more disaggregate level. For example, if we restrict attention to the Central region, headcount poverty reduced from 45.6 percent to 5.1 just percent. This is partly because the Central region comprises Kampala, and poverty fell much faster in urban areas than in rural areas. The reduction in Central region over the 20 year period amounts to a 4.4 percent reduction per year. At the other extreme</w:t>
      </w:r>
      <w:proofErr w:type="gramStart"/>
      <w:r>
        <w:rPr>
          <w:color w:val="000000"/>
        </w:rPr>
        <w:t>,  the</w:t>
      </w:r>
      <w:proofErr w:type="gramEnd"/>
      <w:r>
        <w:rPr>
          <w:color w:val="000000"/>
        </w:rPr>
        <w:t xml:space="preserve"> drier and more remote Northern region starts </w:t>
      </w:r>
      <w:proofErr w:type="spellStart"/>
      <w:r>
        <w:rPr>
          <w:color w:val="000000"/>
        </w:rPr>
        <w:t>of</w:t>
      </w:r>
      <w:proofErr w:type="spellEnd"/>
      <w:r>
        <w:rPr>
          <w:color w:val="000000"/>
        </w:rPr>
        <w:t xml:space="preserve"> with poverty that is already about 60 percent higher than headcount poverty in the central region. Poverty reduces from 72.2 percent to 43.7 percent over the course of 20 years, which amounts to an annual rate of poverty reduction of less than 2 percent.</w:t>
      </w:r>
    </w:p>
    <w:p w:rsidR="00845EC4" w:rsidRDefault="00C16F6B">
      <w:pPr>
        <w:rPr>
          <w:color w:val="000000"/>
        </w:rPr>
      </w:pPr>
      <w:r>
        <w:rPr>
          <w:color w:val="000000"/>
        </w:rPr>
        <w:t xml:space="preserve">The contrast becomes more pronounced with increasing disaggregation. If we go down to the sub-regional level, the lowest level at which the data is deemed representative, we find poverty reduction is reduced from about 5 percent at the turn of the century to about 0.7 percent at the latest survey, corresponding to an impressive annual poverty reduction rate of 8.5 percent. The North-Eastern region, which comprises one of the poorest districts in Uganda, </w:t>
      </w:r>
      <w:proofErr w:type="spellStart"/>
      <w:r>
        <w:rPr>
          <w:color w:val="000000"/>
        </w:rPr>
        <w:t>Karamoja</w:t>
      </w:r>
      <w:proofErr w:type="spellEnd"/>
      <w:r>
        <w:rPr>
          <w:color w:val="000000"/>
        </w:rPr>
        <w:t>, started the new century with headcount poverty at a staggering 82.8 percent. By 2012/13, still around three quarters of the population in this sub-region live below the national poverty line. The annualized rate of poverty reduction in this region was only about 1 percent per year.</w:t>
      </w:r>
    </w:p>
    <w:p w:rsidR="00845EC4" w:rsidRDefault="00C16F6B">
      <w:pPr>
        <w:rPr>
          <w:color w:val="000000"/>
        </w:rPr>
      </w:pPr>
      <w:r>
        <w:rPr>
          <w:color w:val="000000"/>
        </w:rPr>
        <w:t>Naturally, the divergence in rates of poverty reduction means that inequality has worsened over time. While the North was only 60 percent poorer than the Central region in 1992/03, it was already 2.7 times poorer than Central in 2002/2003 and more than eight times poorer in 2012/13. Again, this increasing inequality in well-being is amplified to at lower levels of disaggregation. While at the beginning of the 20</w:t>
      </w:r>
      <w:r>
        <w:rPr>
          <w:color w:val="000000"/>
          <w:vertAlign w:val="superscript"/>
        </w:rPr>
        <w:t>th</w:t>
      </w:r>
      <w:r>
        <w:rPr>
          <w:color w:val="000000"/>
        </w:rPr>
        <w:t xml:space="preserve"> century the poorest </w:t>
      </w:r>
      <w:proofErr w:type="spellStart"/>
      <w:r>
        <w:rPr>
          <w:color w:val="000000"/>
        </w:rPr>
        <w:t>subregion</w:t>
      </w:r>
      <w:proofErr w:type="spellEnd"/>
      <w:r>
        <w:rPr>
          <w:color w:val="000000"/>
        </w:rPr>
        <w:t xml:space="preserve"> was about 20 times as poor at Kampala, the North-east is more than 100 times as poor than the capital in 2012/13. This illustrates that Uganda has been much less successful in reducing poverty in poor and remote areas. This fact was already noted in </w:t>
      </w:r>
      <w:proofErr w:type="spellStart"/>
      <w:r>
        <w:rPr>
          <w:color w:val="000000"/>
        </w:rPr>
        <w:t>Okidi</w:t>
      </w:r>
      <w:proofErr w:type="spellEnd"/>
      <w:r>
        <w:rPr>
          <w:color w:val="000000"/>
        </w:rPr>
        <w:t xml:space="preserve"> and McKay (2003) who found that using panel data, the chronic poor did not benefit from market oriented reforms that seem to drive poverty reduction at the aggregate level. Recent work using newly available panel data seem to confirm this (</w:t>
      </w:r>
      <w:proofErr w:type="spellStart"/>
      <w:r>
        <w:rPr>
          <w:color w:val="000000"/>
        </w:rPr>
        <w:t>Ssewanyana</w:t>
      </w:r>
      <w:proofErr w:type="spellEnd"/>
      <w:r>
        <w:rPr>
          <w:color w:val="000000"/>
        </w:rPr>
        <w:t xml:space="preserve"> and </w:t>
      </w:r>
      <w:proofErr w:type="spellStart"/>
      <w:r>
        <w:rPr>
          <w:color w:val="000000"/>
        </w:rPr>
        <w:t>Kasirye</w:t>
      </w:r>
      <w:proofErr w:type="spellEnd"/>
      <w:r>
        <w:rPr>
          <w:color w:val="000000"/>
        </w:rPr>
        <w:t xml:space="preserve"> (2014)). </w:t>
      </w:r>
    </w:p>
    <w:p w:rsidR="00845EC4" w:rsidRDefault="00C16F6B">
      <w:pPr>
        <w:rPr>
          <w:color w:val="000000"/>
        </w:rPr>
      </w:pPr>
      <w:r>
        <w:rPr>
          <w:color w:val="000000"/>
        </w:rPr>
        <w:t>Apart from the above qualifications, there are also methodological issues with the way poverty is measured in Uganda. In particular, official estimates in Uganda rely on a single national poverty line that is based on a nationally representative consumption bundle of the poor. While the continued use of this poverty line is defended as key to the comparability of poverty over time, it also means that today</w:t>
      </w:r>
      <w:r w:rsidR="00FA1D2B">
        <w:rPr>
          <w:color w:val="000000"/>
        </w:rPr>
        <w:t>’</w:t>
      </w:r>
      <w:r>
        <w:rPr>
          <w:color w:val="000000"/>
        </w:rPr>
        <w:t xml:space="preserve">s welfare is compared to the cost of a basket of goods that does not adequately reflect the consumption patterns of the poor today. In addition, Appleton (2003) and Jamal (1998) argue that a single poverty line that does not take into account spatial </w:t>
      </w:r>
      <w:r w:rsidR="00FA1D2B">
        <w:rPr>
          <w:color w:val="000000"/>
        </w:rPr>
        <w:t xml:space="preserve">heterogeneity </w:t>
      </w:r>
      <w:r>
        <w:rPr>
          <w:color w:val="000000"/>
        </w:rPr>
        <w:t xml:space="preserve">in the diets of the population </w:t>
      </w:r>
      <w:r w:rsidR="00FA1D2B">
        <w:rPr>
          <w:color w:val="000000"/>
        </w:rPr>
        <w:t>cannot</w:t>
      </w:r>
      <w:r>
        <w:rPr>
          <w:color w:val="000000"/>
        </w:rPr>
        <w:t xml:space="preserve"> adequately identify the poor. When they allow for different spatial </w:t>
      </w:r>
      <w:r w:rsidR="00FA1D2B">
        <w:rPr>
          <w:color w:val="000000"/>
        </w:rPr>
        <w:t>heterogeneity</w:t>
      </w:r>
      <w:r>
        <w:rPr>
          <w:color w:val="000000"/>
        </w:rPr>
        <w:t xml:space="preserve"> in the composition of the basic needs basket, they find that the Western </w:t>
      </w:r>
      <w:r>
        <w:rPr>
          <w:color w:val="000000"/>
        </w:rPr>
        <w:lastRenderedPageBreak/>
        <w:t xml:space="preserve">region is poorer than official statistics suggest, reflecting the relatively high price of </w:t>
      </w:r>
      <w:proofErr w:type="spellStart"/>
      <w:r>
        <w:rPr>
          <w:color w:val="000000"/>
        </w:rPr>
        <w:t>matooke</w:t>
      </w:r>
      <w:proofErr w:type="spellEnd"/>
      <w:r>
        <w:rPr>
          <w:color w:val="000000"/>
        </w:rPr>
        <w:t xml:space="preserve"> as a source of energy. </w:t>
      </w:r>
    </w:p>
    <w:p w:rsidR="00845EC4" w:rsidRDefault="00C16F6B">
      <w:pPr>
        <w:rPr>
          <w:color w:val="000000"/>
        </w:rPr>
      </w:pPr>
      <w:r>
        <w:rPr>
          <w:color w:val="000000"/>
        </w:rPr>
        <w:t>Official figures have also been challenged recently when compared to alternative methods to estimate poverty. For instance, Levine (2012) compares the official poverty estimates with the poverty estimates using the World Bank's “one dollar a day” international poverty line. He finds that absolute poverty is higher according to the World Bank, and also that reduction in poverty is substantially slower than official numbers suggest. The author identifies adjustments to account for urban and rural price differences, adjustments to account for household composition and statistical weighting as potential causes for the divergence.</w:t>
      </w:r>
    </w:p>
    <w:p w:rsidR="00845EC4" w:rsidRPr="00CF3BDC" w:rsidRDefault="00C16F6B">
      <w:pPr>
        <w:rPr>
          <w:color w:val="000000"/>
        </w:rPr>
      </w:pPr>
      <w:r>
        <w:rPr>
          <w:color w:val="000000"/>
        </w:rPr>
        <w:t xml:space="preserve">Studies that employ alternative welfare indicators also paint a less optimistic picture. For example Daniels and Minot (2015) use information on asset ownership, access to water and sanitation and other non-monetary indicators of </w:t>
      </w:r>
      <w:r w:rsidR="00FA1D2B">
        <w:rPr>
          <w:color w:val="000000"/>
        </w:rPr>
        <w:t>wellbeing</w:t>
      </w:r>
      <w:r>
        <w:rPr>
          <w:color w:val="000000"/>
        </w:rPr>
        <w:t xml:space="preserve"> to predict poverty using Demographic and Health Surveys (DHS) data. Using methods related to poverty mapping and small area estimation, they find that poverty has reduced much slower than official figures suggest. The same conclusion is reached in studies that use more qualitative methods to assess poverty and wellbeing (</w:t>
      </w:r>
      <w:proofErr w:type="spellStart"/>
      <w:r>
        <w:rPr>
          <w:color w:val="000000"/>
        </w:rPr>
        <w:t>Kakande</w:t>
      </w:r>
      <w:proofErr w:type="spellEnd"/>
      <w:r>
        <w:rPr>
          <w:color w:val="000000"/>
        </w:rPr>
        <w:t>, 2010).</w:t>
      </w:r>
    </w:p>
    <w:p w:rsidR="00845EC4" w:rsidRPr="00CF3BDC" w:rsidRDefault="00C16F6B" w:rsidP="00CF3BDC">
      <w:pPr>
        <w:rPr>
          <w:b/>
        </w:rPr>
      </w:pPr>
      <w:r w:rsidRPr="00CF3BDC">
        <w:rPr>
          <w:b/>
        </w:rPr>
        <w:t>A reassessment of poverty and its evolution in Uganda</w:t>
      </w:r>
    </w:p>
    <w:p w:rsidR="00845EC4" w:rsidRDefault="00C16F6B">
      <w:r>
        <w:t xml:space="preserve">Poverty measurement involves generally three steps. The first two steps are often referred to as the </w:t>
      </w:r>
      <w:r>
        <w:rPr>
          <w:b/>
        </w:rPr>
        <w:t>identification</w:t>
      </w:r>
      <w:r>
        <w:t xml:space="preserve"> and the last step involves </w:t>
      </w:r>
      <w:r>
        <w:rPr>
          <w:b/>
        </w:rPr>
        <w:t>aggregation</w:t>
      </w:r>
      <w:r>
        <w:t>. It involves the construction of 1) a welfare measure and 2) agreeing on a poverty line. The welfare measure is used to rank units (most of the time these are households, but this can also be individuals or countries) according to well-being. Ideally, this should be measure that reflects the multi-dimensional nature of well-being, but in general, a money metric measure that is correlated with well-being is chosen. In practice, preference is given to consumption expenditure above income, as the first tends to be less susceptible to fluctuations over time.</w:t>
      </w:r>
    </w:p>
    <w:p w:rsidR="00845EC4" w:rsidRDefault="00C16F6B">
      <w:r>
        <w:t>The poverty line is then used to delineate the poor from the rest of the population. There are two common ways to fix poverty lines. The cost of basic needs (CBN) method assembles a basket of goods typically consumed by the poor that generates a minimum necessary energy level (</w:t>
      </w:r>
      <w:proofErr w:type="spellStart"/>
      <w:r>
        <w:t>eg</w:t>
      </w:r>
      <w:proofErr w:type="spellEnd"/>
      <w:r>
        <w:t xml:space="preserve"> </w:t>
      </w:r>
      <w:r w:rsidR="00882EFC">
        <w:t>3000</w:t>
      </w:r>
      <w:r>
        <w:t xml:space="preserve"> kcal per adult) that is deemed sufficient, and a non-food allowance is added. Alternatively, the food energy intake method is derived from a regression of food expenditure on caloric intake at the individual level, which is then used to predict expenditure needed to yield a particular minimum necessary energy level. The advantage of this method is that a non-food allowance is automatically included in the predicted expenditure, but the disadvantage is that one needs detailed data on food energy intake to estimate the regression.</w:t>
      </w:r>
    </w:p>
    <w:p w:rsidR="00845EC4" w:rsidRDefault="00C16F6B">
      <w:r>
        <w:t>In the aggregation step, the information pertaining the position of the units in terms of welfare with respect to the poverty line is summarized at a particular level of aggregation. For instance, can simply count the number of households that fall below the poverty line and express this as a proportion of the total number of households at a national level. This would be the poverty headcount, and this is usually what people refer to when they talk about the level of poverty in a particular country. An often used poverty measure, that encompasses the poverty headcount, is the Foster-</w:t>
      </w:r>
      <w:proofErr w:type="spellStart"/>
      <w:r>
        <w:t>Greere</w:t>
      </w:r>
      <w:proofErr w:type="spellEnd"/>
      <w:r>
        <w:t>-</w:t>
      </w:r>
      <w:proofErr w:type="spellStart"/>
      <w:r>
        <w:t>Thorbecke</w:t>
      </w:r>
      <w:proofErr w:type="spellEnd"/>
      <w:r>
        <w:t xml:space="preserve"> (FGT) indicator.</w:t>
      </w:r>
    </w:p>
    <w:p w:rsidR="00845EC4" w:rsidRDefault="00845EC4"/>
    <w:p w:rsidR="00845EC4" w:rsidRPr="00F0687A" w:rsidRDefault="00C16F6B" w:rsidP="000D1960">
      <w:pPr>
        <w:rPr>
          <w:b/>
          <w:i/>
        </w:rPr>
      </w:pPr>
      <w:r w:rsidRPr="00F0687A">
        <w:rPr>
          <w:b/>
          <w:i/>
        </w:rPr>
        <w:t>The data</w:t>
      </w:r>
    </w:p>
    <w:p w:rsidR="00845EC4" w:rsidRDefault="00C16F6B">
      <w:r>
        <w:t>Uganda has been lauded for its efforts to monitor poverty and wellbeing. At the basis of this is a fairly well functioning statistics agency that collects information on socio-economic characteristics at the household and community levels for monitoring development performance. As such, researchers that want to work on poverty measurement and comparisons have a range of data they can work with. The first household budget survey since the end of the civil war was done in 1989/89 and smaller surveys have been done at varying time intervals. From 2000 onward, the format of the survey was adapted. The survey was modeled conform the Living Standard Measurement Survey (LSMS) and was held every three years. This first survey is popularly known as the Uganda National Household Survey 2000/09 or UNHS-1. The latest available UNHS that was publicly available at the time of writing was the one from 2012/13.</w:t>
      </w:r>
    </w:p>
    <w:p w:rsidR="00845EC4" w:rsidRDefault="00C16F6B">
      <w:r>
        <w:t xml:space="preserve">The UNHS consists of some core modules, such as a socio-economic, a </w:t>
      </w:r>
      <w:proofErr w:type="spellStart"/>
      <w:r>
        <w:t>labour</w:t>
      </w:r>
      <w:proofErr w:type="spellEnd"/>
      <w:r>
        <w:t>, a community and a price module. In some rounds, some modules are added to collect information on some specific areas. For example, the UNHS 2009/10 had an extra module on the informal sector. In this regard, the UNHS 2005/06 was particularly interesting, as it had an extended module on smallholder agriculture, which is the main stray of the majority of the population in Uganda, especially the poor. The UNHS generally surveys about 6,000 to 8,000 households.</w:t>
      </w:r>
    </w:p>
    <w:p w:rsidR="00845EC4" w:rsidRDefault="00C16F6B">
      <w:r>
        <w:t>The UNHS 2005/06 is also noteworthy because it is part of the LSMS-ISA, a project managed by the LSMS team at the World Bank with the aim of making high quality panel data with a strong focus on agriculture available in a selection of African countries. In principle, the analysis that is described in this chapter can readily be replicated using one of the UNPS rounds, although the sample size is likely to be too small to estimate poverty lines in many different spatial domains.</w:t>
      </w:r>
    </w:p>
    <w:p w:rsidR="00845EC4" w:rsidRDefault="00C16F6B">
      <w:r>
        <w:t xml:space="preserve">While it is difficult to assess the quality of the data without a proper benchmark, internal inconsistencies within the data signal that there are at least some issue with the quality. For example, in the UNHS wave of 2010/11, there is a gigantic unexplained drop in the number of people reporting to consume sweet potatoes (and to a lesser extent cassava). While in all other rounds of the UNPS about 1500 households report non-zero consumption of sweet potatoes, this is less than 300 households in the 2010/11. </w:t>
      </w:r>
    </w:p>
    <w:p w:rsidR="00845EC4" w:rsidRDefault="00C16F6B">
      <w:r>
        <w:t xml:space="preserve">In this study, we will present results based on the UNHS 2012/13. This is the latest UNHS available. In addition, it covers about 6888 households, a sufficient numbers of observations available to allow us to estimate poverty lines at a sufficiently disaggregated level. </w:t>
      </w:r>
    </w:p>
    <w:p w:rsidR="00845EC4" w:rsidRPr="00F0687A" w:rsidRDefault="00C16F6B" w:rsidP="00626786">
      <w:pPr>
        <w:rPr>
          <w:b/>
          <w:i/>
        </w:rPr>
      </w:pPr>
      <w:r w:rsidRPr="00F0687A">
        <w:rPr>
          <w:b/>
          <w:i/>
        </w:rPr>
        <w:t>Constructing the welfare indicator</w:t>
      </w:r>
    </w:p>
    <w:p w:rsidR="00845EC4" w:rsidRDefault="00C16F6B">
      <w:r>
        <w:t xml:space="preserve">The datasets that are disseminated by the UBOS normally have an extra file that can be used to replicate the official poverty numbers. For instance, for the UNHS 2012/13 has a file called </w:t>
      </w:r>
      <w:proofErr w:type="gramStart"/>
      <w:r w:rsidRPr="00AE260E">
        <w:rPr>
          <w:i/>
        </w:rPr>
        <w:t>Poverty2012.dta</w:t>
      </w:r>
      <w:r>
        <w:t>.</w:t>
      </w:r>
      <w:proofErr w:type="gramEnd"/>
      <w:r>
        <w:t xml:space="preserve"> In this file, one will find a variable called </w:t>
      </w:r>
      <w:r w:rsidRPr="00AE260E">
        <w:rPr>
          <w:i/>
        </w:rPr>
        <w:t>welfare</w:t>
      </w:r>
      <w:r>
        <w:t xml:space="preserve">, which is essentially the </w:t>
      </w:r>
      <w:r>
        <w:lastRenderedPageBreak/>
        <w:t>welfare indicator</w:t>
      </w:r>
      <w:r>
        <w:rPr>
          <w:rStyle w:val="FootnoteAnchor"/>
        </w:rPr>
        <w:footnoteReference w:id="2"/>
      </w:r>
      <w:r>
        <w:t xml:space="preserve">. You also need the poverty lines (called </w:t>
      </w:r>
      <w:r w:rsidRPr="00AE260E">
        <w:rPr>
          <w:i/>
        </w:rPr>
        <w:t>spline</w:t>
      </w:r>
      <w:r>
        <w:t xml:space="preserve">) and the weights called </w:t>
      </w:r>
      <w:proofErr w:type="spellStart"/>
      <w:r w:rsidRPr="00AE260E">
        <w:rPr>
          <w:i/>
        </w:rPr>
        <w:t>hmult</w:t>
      </w:r>
      <w:proofErr w:type="spellEnd"/>
      <w:r>
        <w:t>. Poverty can then simply be calculated by</w:t>
      </w:r>
      <w:r w:rsidR="00AE260E">
        <w:t xml:space="preserve"> the weighted mean of a dummy that indicates if </w:t>
      </w:r>
      <w:r w:rsidR="00AE260E" w:rsidRPr="00AE260E">
        <w:rPr>
          <w:i/>
        </w:rPr>
        <w:t>welfare</w:t>
      </w:r>
      <w:r w:rsidR="00AE260E">
        <w:t xml:space="preserve"> is smaller than </w:t>
      </w:r>
      <w:r w:rsidR="00AE260E" w:rsidRPr="00AE260E">
        <w:rPr>
          <w:i/>
        </w:rPr>
        <w:t>spline</w:t>
      </w:r>
      <w:r w:rsidR="00AE260E">
        <w:t>.</w:t>
      </w:r>
    </w:p>
    <w:p w:rsidR="00845EC4" w:rsidRDefault="00C16F6B">
      <w:r>
        <w:t>The consumption aggregate is convenient to replicate official estimates. However, often, one would like to rerun the analysis with slight modifications to check robustness. For instance, one may want to check if scaling household consumption by household size or the number of adult equivalent units within the household would make a difference. This is impossible to do with the UNHS, as there is no detailed information available on how the consumption aggregate has been constructed and the code that is used to generated welfare variable is not in the public domain. Furthermore, while some datasets have a range of seemingly intermediate variables, such as the Poverty2012.dta referred to above, others have only a few intermediate variables</w:t>
      </w:r>
      <w:r>
        <w:rPr>
          <w:rStyle w:val="FootnoteAnchor"/>
        </w:rPr>
        <w:footnoteReference w:id="3"/>
      </w:r>
      <w:r>
        <w:t>.</w:t>
      </w:r>
    </w:p>
    <w:p w:rsidR="00845EC4" w:rsidRDefault="00C16F6B">
      <w:r>
        <w:t xml:space="preserve">The toolkit contains modules to construct a consumption aggregate. Although it would be possible to use the consumption aggregated supplied by UBOS to rank households and compare them to poverty lines, the construction of the poverty lines itself requires more detailed consumption information than just the welfare indicator. Therefore, we decided to reconstruct our own welfare indicator from the raw consumption data. </w:t>
      </w:r>
    </w:p>
    <w:p w:rsidR="00845EC4" w:rsidRDefault="00C16F6B">
      <w:r>
        <w:t xml:space="preserve">One of the first things we do is merge in household size from the household roster in section 2 to the identifying information in section 1 which we will use to classify households into different spatial domains. To determine household size, we only incorporate usual of regular members present or absent, which leads to an average household size of about 5 members. Already, due to undocumented data cleaning or a different definition of what constitutes a household, our household size differs slightly from the one reported in the Poverty2012.dta dataset. </w:t>
      </w:r>
    </w:p>
    <w:p w:rsidR="00845EC4" w:rsidRDefault="00C16F6B">
      <w:r>
        <w:t>To calculate the welfare indicator at the household level, we start in section 6B and we simply sum all quantities consumed out of purchases at home, consumed out or purchases away from home, consumed out of home production and quantities received in kind or for free. These sums are divided by seven to get daily consumption for each consumption item at household level. We also sum corresponding values to come to daily value of total consumption of each item at the household level.</w:t>
      </w:r>
    </w:p>
    <w:p w:rsidR="00845EC4" w:rsidRDefault="00C16F6B">
      <w:r>
        <w:t xml:space="preserve">A typical issue encountered in household budget surveys is that food consumption is often recorded in non-standard units. Some may be straightforward to convert to kilograms, such as one </w:t>
      </w:r>
      <w:proofErr w:type="spellStart"/>
      <w:r>
        <w:t>kimbo</w:t>
      </w:r>
      <w:proofErr w:type="spellEnd"/>
      <w:r>
        <w:t xml:space="preserve"> of maize grains, where </w:t>
      </w:r>
      <w:proofErr w:type="spellStart"/>
      <w:r>
        <w:t>kimbo</w:t>
      </w:r>
      <w:proofErr w:type="spellEnd"/>
      <w:r>
        <w:t xml:space="preserve"> is a well-known type of cooking oil that comes in 1 kg plastic pots. Others are less precisely defined, such as a bunch of bananas or a bundle of fish. We </w:t>
      </w:r>
      <w:r>
        <w:lastRenderedPageBreak/>
        <w:t xml:space="preserve">convert these units using a set of conversion factors that UBOS assembled during the Uganda Census of Agriculture. But even then, about 7 percent of the household – item level observations </w:t>
      </w:r>
      <w:r w:rsidR="00FA1D2B">
        <w:t>cannot</w:t>
      </w:r>
      <w:r>
        <w:t xml:space="preserve"> be converted into kilograms because of missing conversion factors. In most cases, these are foodstuff that are not well defined, such as “other fruits”.</w:t>
      </w:r>
    </w:p>
    <w:p w:rsidR="00845EC4" w:rsidRDefault="00C16F6B">
      <w:r>
        <w:t>Section 5 provides a section on health, with a single question on the cost of consultation. However, section 6 C, on expenditures on Non-durable Goods and Frequently Purchased services also asks about health and medical care expenses. This is done in a much more detailed way than in section 5, explicitly probing for traditional doctor’s fees and in-kind or received for free services. We therefore include medical expenditures as non-durable goods an</w:t>
      </w:r>
      <w:r w:rsidR="00FA1D2B">
        <w:t>d frequently purchased services</w:t>
      </w:r>
      <w:r>
        <w:t>. Other categories under this heading are (imputed) rent and fuel such as charcoal; non-durable and personal goods such as soap; transport and communication such as air time; and other services such as barber. As this was recorded during the last 30 days we converted to daily averages and aggregated to total household expenditures.</w:t>
      </w:r>
    </w:p>
    <w:p w:rsidR="00845EC4" w:rsidRDefault="00C16F6B">
      <w:r>
        <w:t>Section 4 records education for household members above the age of 5 and has a question on expenditures. However, section 6D on expenditures on semi-durable and durable goods and services that were purchased during the last year also includes questions on expenditure for education. To encourage uniformity with health, we therefor decided to use the figures from section 6D rather than those in section 4. Other semi-durable and durable goods include clothing and footwear; furniture; household appliances and equipment; utensils and others. Finally, there is a separate section for non-consumption expenditure, which collects tax payments, interests, funerals and other functions</w:t>
      </w:r>
      <w:proofErr w:type="gramStart"/>
      <w:r>
        <w:t>,…</w:t>
      </w:r>
      <w:proofErr w:type="gramEnd"/>
      <w:r>
        <w:t xml:space="preserve"> </w:t>
      </w:r>
    </w:p>
    <w:p w:rsidR="00845EC4" w:rsidRDefault="00C16F6B">
      <w:r>
        <w:t>The resulting welfare indicator is quite close to the official consumption aggregate that is in the Poverty2012.dta. The variable, called welfare, is expressed on a monthly basis and scaled by the number of adult equivalents</w:t>
      </w:r>
      <w:r>
        <w:rPr>
          <w:rStyle w:val="FootnoteAnchor"/>
        </w:rPr>
        <w:footnoteReference w:id="4"/>
      </w:r>
      <w:r>
        <w:t xml:space="preserve">. We therefore divided it by 30 and multiplied it by the number of adult equivalents and then divided it again by the number of household members to make it comparable to our daily consumption per capita measure. In addition, the welfare variable is expressed in 2005/06 prices, so we multiply it by 1.85, which is the CPI that is implied by the poverty lines. We then get that our measure has a median value of about 2700 Ugandan shillings per day per capita, while the official estimate is slightly lower at about 2530. </w:t>
      </w:r>
    </w:p>
    <w:p w:rsidR="00B74E80" w:rsidRDefault="00B74E80">
      <w:r>
        <w:t>Figure 1: Density estimates for welfare indicators</w:t>
      </w:r>
    </w:p>
    <w:p w:rsidR="00B74E80" w:rsidRDefault="00690FFC">
      <w:r w:rsidRPr="00690FFC">
        <w:rPr>
          <w:noProof/>
        </w:rPr>
        <w:lastRenderedPageBreak/>
        <w:drawing>
          <wp:inline distT="0" distB="0" distL="0" distR="0">
            <wp:extent cx="4674235" cy="4060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4235" cy="4060190"/>
                    </a:xfrm>
                    <a:prstGeom prst="rect">
                      <a:avLst/>
                    </a:prstGeom>
                    <a:noFill/>
                    <a:ln>
                      <a:noFill/>
                    </a:ln>
                  </pic:spPr>
                </pic:pic>
              </a:graphicData>
            </a:graphic>
          </wp:inline>
        </w:drawing>
      </w:r>
    </w:p>
    <w:p w:rsidR="00B74E80" w:rsidRDefault="00B74E80">
      <w:r>
        <w:t>Source: own calculations based on the UNHS 2012/13</w:t>
      </w:r>
    </w:p>
    <w:p w:rsidR="00845EC4" w:rsidRDefault="00C16F6B">
      <w:r>
        <w:t xml:space="preserve">Figure </w:t>
      </w:r>
      <w:r w:rsidR="00B74E80">
        <w:t>1</w:t>
      </w:r>
      <w:r>
        <w:t xml:space="preserve"> shows in more detail how the distributions compare to each other. The solid line represents a kernel density estimate of the distribution of the official welfare indicator, and the dashed line is the one we computed from the raw data. As you can see, they are very close, although there the distribution of our welfare indicator suggests a slightly higher degree if inequality. The reason for the difference is most likely because of the way UBOS adjusts the welfare indicator in various ways, although this is nowhere documented and can only be assumed from the naming of intermediate variables. For instance, there are intermediate variables expressed in nominal and market prices. Some are adjusted for inflation, and others are also adjusted for regional price differences.</w:t>
      </w:r>
    </w:p>
    <w:p w:rsidR="00845EC4" w:rsidRPr="00CF3BDC" w:rsidRDefault="00091926">
      <w:pPr>
        <w:rPr>
          <w:b/>
          <w:i/>
        </w:rPr>
      </w:pPr>
      <w:r w:rsidRPr="00CF3BDC">
        <w:rPr>
          <w:b/>
          <w:i/>
        </w:rPr>
        <w:t>Cost of Basic Needs</w:t>
      </w:r>
    </w:p>
    <w:p w:rsidR="00845EC4" w:rsidRDefault="00C16F6B">
      <w:pPr>
        <w:rPr>
          <w:color w:val="000000"/>
        </w:rPr>
      </w:pPr>
      <w:r>
        <w:rPr>
          <w:color w:val="000000"/>
        </w:rPr>
        <w:t>The official poverty estimates are based on poverty lines that are rooted in a single national food consumption bundle, derived from 1993/94 Monitoring Survey data. In particular, a single food basket was identified at the national level with 28 of the most frequently consumed food items by households with less than the median income. The items in this food basket were then converted into caloric equivalents and scaled to generate 3,000 calories per adult equivalent per day using the World Health Organization (WHO) estimates for an 18</w:t>
      </w:r>
      <w:r>
        <w:rPr>
          <w:rFonts w:ascii="Cambria Math" w:hAnsi="Cambria Math" w:cs="Cambria Math"/>
          <w:color w:val="000000"/>
        </w:rPr>
        <w:t>‐</w:t>
      </w:r>
      <w:r>
        <w:rPr>
          <w:color w:val="000000"/>
        </w:rPr>
        <w:t xml:space="preserve">30-year-old male as a reference. Next, a non-food allowance was added. Non-food requirements were estimated as the average non-food expenditure of those households whose total expenditure was around the food poverty line. The non-food allowance does allow for spatial heterogeneity, as separate averages were </w:t>
      </w:r>
      <w:r>
        <w:rPr>
          <w:color w:val="000000"/>
        </w:rPr>
        <w:lastRenderedPageBreak/>
        <w:t xml:space="preserve">calculated for urban and rural locations interacted with the four regions (central, eastern, northern, and western), using the method described in </w:t>
      </w:r>
      <w:proofErr w:type="spellStart"/>
      <w:r>
        <w:rPr>
          <w:color w:val="000000"/>
        </w:rPr>
        <w:t>Ravallion</w:t>
      </w:r>
      <w:proofErr w:type="spellEnd"/>
      <w:r>
        <w:rPr>
          <w:color w:val="000000"/>
        </w:rPr>
        <w:t xml:space="preserve"> and </w:t>
      </w:r>
      <w:proofErr w:type="spellStart"/>
      <w:r>
        <w:rPr>
          <w:color w:val="000000"/>
        </w:rPr>
        <w:t>Bidani</w:t>
      </w:r>
      <w:proofErr w:type="spellEnd"/>
      <w:r>
        <w:rPr>
          <w:color w:val="000000"/>
        </w:rPr>
        <w:t xml:space="preserve"> (1994). These poverty lines have since been updated by the official inflation figures each time a new household survey came out. More information can be found in Appleton (1999).</w:t>
      </w:r>
    </w:p>
    <w:p w:rsidR="00290B0A" w:rsidRDefault="00C43181">
      <w:r>
        <w:rPr>
          <w:color w:val="000000"/>
        </w:rPr>
        <w:t xml:space="preserve">We use a slightly different approach in that we first calculate the average per person caloric requirement </w:t>
      </w:r>
      <w:r w:rsidR="00986507">
        <w:rPr>
          <w:color w:val="000000"/>
        </w:rPr>
        <w:t xml:space="preserve">and use this as the basis of our poverty line. If one uses the average caloric requirement of the population instead of for instance the caloric requirement of </w:t>
      </w:r>
      <w:proofErr w:type="gramStart"/>
      <w:r w:rsidR="00986507">
        <w:rPr>
          <w:color w:val="000000"/>
        </w:rPr>
        <w:t>a</w:t>
      </w:r>
      <w:proofErr w:type="gramEnd"/>
      <w:r w:rsidR="00986507">
        <w:rPr>
          <w:color w:val="000000"/>
        </w:rPr>
        <w:t xml:space="preserve"> 18-30-year old male reference, one does not need to adjust the welfare indicator for </w:t>
      </w:r>
      <w:r w:rsidR="0051012D">
        <w:rPr>
          <w:color w:val="000000"/>
        </w:rPr>
        <w:t>nutritional requirements</w:t>
      </w:r>
      <w:r w:rsidR="00986507">
        <w:rPr>
          <w:color w:val="000000"/>
        </w:rPr>
        <w:t xml:space="preserve"> anymore</w:t>
      </w:r>
      <w:r w:rsidR="0051012D">
        <w:rPr>
          <w:color w:val="000000"/>
        </w:rPr>
        <w:t xml:space="preserve">. One can just use consumption expenditure per capita, which is then compared to (the cost of) obtaining the energy needed by the average person within the population. </w:t>
      </w:r>
      <w:r w:rsidR="0051012D">
        <w:t>Specifically, we find the calories needed for each person given their age, gender, likelihood of being pregnant, and likelihood of being breastfed</w:t>
      </w:r>
      <w:r w:rsidR="0051012D">
        <w:rPr>
          <w:rStyle w:val="FootnoteReference"/>
        </w:rPr>
        <w:footnoteReference w:id="5"/>
      </w:r>
      <w:r w:rsidR="0051012D">
        <w:t xml:space="preserve">. </w:t>
      </w:r>
      <w:r w:rsidR="00B10C5E">
        <w:t xml:space="preserve">If we calculate average caloric requirement for the entire sample, we find this to be about 2184 kcal per day. </w:t>
      </w:r>
    </w:p>
    <w:p w:rsidR="00C43181" w:rsidRDefault="00B10C5E">
      <w:r>
        <w:t xml:space="preserve">However, </w:t>
      </w:r>
      <w:r w:rsidR="00290B0A">
        <w:t>we will allow for spatial heterogeneity in the average calorie requirements. For instance, it may be that fertility rates are lower in urban areas or that rural areas host a disproportionate amount of elderly people. We will use the same spatial domains as we will use for the consumption baskets. The resulting caloric requirements are in table</w:t>
      </w:r>
      <w:r w:rsidR="00FE505B">
        <w:t xml:space="preserve"> 2.</w:t>
      </w:r>
    </w:p>
    <w:p w:rsidR="00FE505B" w:rsidRDefault="00FE505B">
      <w:pPr>
        <w:rPr>
          <w:color w:val="000000"/>
        </w:rPr>
      </w:pPr>
      <w:r>
        <w:rPr>
          <w:color w:val="000000"/>
        </w:rPr>
        <w:t>Table 2: Average caloric requirement by spatial domain</w:t>
      </w:r>
    </w:p>
    <w:p w:rsidR="00290B0A" w:rsidRDefault="00290B0A" w:rsidP="00C43181">
      <w:pPr>
        <w:suppressAutoHyphens w:val="0"/>
        <w:spacing w:after="0"/>
        <w:jc w:val="left"/>
      </w:pPr>
    </w:p>
    <w:tbl>
      <w:tblPr>
        <w:tblW w:w="5940" w:type="dxa"/>
        <w:jc w:val="center"/>
        <w:tblLook w:val="04A0" w:firstRow="1" w:lastRow="0" w:firstColumn="1" w:lastColumn="0" w:noHBand="0" w:noVBand="1"/>
      </w:tblPr>
      <w:tblGrid>
        <w:gridCol w:w="2880"/>
        <w:gridCol w:w="3060"/>
      </w:tblGrid>
      <w:tr w:rsidR="00245C85" w:rsidRPr="00290B0A" w:rsidTr="00245C85">
        <w:trPr>
          <w:trHeight w:val="315"/>
          <w:jc w:val="center"/>
        </w:trPr>
        <w:tc>
          <w:tcPr>
            <w:tcW w:w="2880" w:type="dxa"/>
            <w:tcBorders>
              <w:top w:val="thinThickSmallGap" w:sz="24" w:space="0" w:color="auto"/>
              <w:left w:val="nil"/>
              <w:bottom w:val="single" w:sz="4" w:space="0" w:color="auto"/>
              <w:right w:val="nil"/>
            </w:tcBorders>
            <w:shd w:val="clear" w:color="auto" w:fill="auto"/>
            <w:noWrap/>
            <w:vAlign w:val="center"/>
          </w:tcPr>
          <w:p w:rsidR="00245C85" w:rsidRPr="00290B0A" w:rsidRDefault="00245C85" w:rsidP="00245C85">
            <w:pPr>
              <w:suppressAutoHyphens w:val="0"/>
              <w:spacing w:after="0"/>
              <w:jc w:val="right"/>
            </w:pPr>
            <w:r>
              <w:t>Spatial domain</w:t>
            </w:r>
          </w:p>
        </w:tc>
        <w:tc>
          <w:tcPr>
            <w:tcW w:w="3060" w:type="dxa"/>
            <w:tcBorders>
              <w:top w:val="thinThickSmallGap" w:sz="24" w:space="0" w:color="auto"/>
              <w:left w:val="nil"/>
              <w:bottom w:val="single" w:sz="4" w:space="0" w:color="auto"/>
              <w:right w:val="nil"/>
            </w:tcBorders>
            <w:shd w:val="clear" w:color="auto" w:fill="auto"/>
            <w:noWrap/>
            <w:vAlign w:val="center"/>
          </w:tcPr>
          <w:p w:rsidR="00245C85" w:rsidRPr="00290B0A" w:rsidRDefault="00245C85" w:rsidP="00245C85">
            <w:pPr>
              <w:suppressAutoHyphens w:val="0"/>
              <w:spacing w:after="0"/>
              <w:jc w:val="center"/>
            </w:pPr>
            <w:r>
              <w:t>Caloric requirement</w:t>
            </w:r>
          </w:p>
        </w:tc>
      </w:tr>
      <w:tr w:rsidR="00290B0A" w:rsidRPr="00290B0A" w:rsidTr="00245C85">
        <w:trPr>
          <w:trHeight w:val="315"/>
          <w:jc w:val="center"/>
        </w:trPr>
        <w:tc>
          <w:tcPr>
            <w:tcW w:w="2880" w:type="dxa"/>
            <w:tcBorders>
              <w:top w:val="single" w:sz="4" w:space="0" w:color="auto"/>
              <w:left w:val="nil"/>
              <w:bottom w:val="nil"/>
              <w:right w:val="nil"/>
            </w:tcBorders>
            <w:shd w:val="clear" w:color="auto" w:fill="auto"/>
            <w:noWrap/>
            <w:vAlign w:val="center"/>
            <w:hideMark/>
          </w:tcPr>
          <w:p w:rsidR="00290B0A" w:rsidRPr="00290B0A" w:rsidRDefault="00290B0A" w:rsidP="00245C85">
            <w:pPr>
              <w:suppressAutoHyphens w:val="0"/>
              <w:spacing w:after="0"/>
              <w:jc w:val="right"/>
            </w:pPr>
            <w:r w:rsidRPr="00290B0A">
              <w:t>Kampala</w:t>
            </w:r>
          </w:p>
        </w:tc>
        <w:tc>
          <w:tcPr>
            <w:tcW w:w="3060" w:type="dxa"/>
            <w:tcBorders>
              <w:top w:val="single" w:sz="4" w:space="0" w:color="auto"/>
              <w:left w:val="nil"/>
              <w:bottom w:val="nil"/>
              <w:right w:val="nil"/>
            </w:tcBorders>
            <w:shd w:val="clear" w:color="auto" w:fill="auto"/>
            <w:noWrap/>
            <w:vAlign w:val="center"/>
            <w:hideMark/>
          </w:tcPr>
          <w:p w:rsidR="00290B0A" w:rsidRPr="00290B0A" w:rsidRDefault="00290B0A" w:rsidP="00245C85">
            <w:pPr>
              <w:suppressAutoHyphens w:val="0"/>
              <w:spacing w:after="0"/>
              <w:jc w:val="center"/>
            </w:pPr>
            <w:r w:rsidRPr="00290B0A">
              <w:t>2222.19</w:t>
            </w:r>
          </w:p>
        </w:tc>
      </w:tr>
      <w:tr w:rsidR="00290B0A" w:rsidRPr="00290B0A" w:rsidTr="00245C85">
        <w:trPr>
          <w:trHeight w:val="330"/>
          <w:jc w:val="center"/>
        </w:trPr>
        <w:tc>
          <w:tcPr>
            <w:tcW w:w="2880" w:type="dxa"/>
            <w:tcBorders>
              <w:top w:val="nil"/>
              <w:left w:val="nil"/>
              <w:bottom w:val="nil"/>
              <w:right w:val="nil"/>
            </w:tcBorders>
            <w:shd w:val="clear" w:color="auto" w:fill="auto"/>
            <w:noWrap/>
            <w:vAlign w:val="center"/>
            <w:hideMark/>
          </w:tcPr>
          <w:p w:rsidR="00290B0A" w:rsidRPr="00290B0A" w:rsidRDefault="00290B0A" w:rsidP="00245C85">
            <w:pPr>
              <w:suppressAutoHyphens w:val="0"/>
              <w:spacing w:after="0"/>
              <w:jc w:val="right"/>
            </w:pPr>
            <w:r w:rsidRPr="00290B0A">
              <w:t>Central rural</w:t>
            </w:r>
          </w:p>
        </w:tc>
        <w:tc>
          <w:tcPr>
            <w:tcW w:w="3060" w:type="dxa"/>
            <w:tcBorders>
              <w:top w:val="nil"/>
              <w:left w:val="nil"/>
              <w:bottom w:val="nil"/>
              <w:right w:val="nil"/>
            </w:tcBorders>
            <w:shd w:val="clear" w:color="auto" w:fill="auto"/>
            <w:noWrap/>
            <w:vAlign w:val="center"/>
            <w:hideMark/>
          </w:tcPr>
          <w:p w:rsidR="00290B0A" w:rsidRPr="00290B0A" w:rsidRDefault="00290B0A" w:rsidP="00245C85">
            <w:pPr>
              <w:suppressAutoHyphens w:val="0"/>
              <w:spacing w:after="0"/>
              <w:jc w:val="center"/>
            </w:pPr>
            <w:r w:rsidRPr="00290B0A">
              <w:t>2145.17</w:t>
            </w:r>
          </w:p>
        </w:tc>
      </w:tr>
      <w:tr w:rsidR="00290B0A" w:rsidRPr="00290B0A" w:rsidTr="00245C85">
        <w:trPr>
          <w:trHeight w:val="330"/>
          <w:jc w:val="center"/>
        </w:trPr>
        <w:tc>
          <w:tcPr>
            <w:tcW w:w="2880" w:type="dxa"/>
            <w:tcBorders>
              <w:top w:val="nil"/>
              <w:left w:val="nil"/>
              <w:bottom w:val="nil"/>
              <w:right w:val="nil"/>
            </w:tcBorders>
            <w:shd w:val="clear" w:color="auto" w:fill="auto"/>
            <w:noWrap/>
            <w:vAlign w:val="center"/>
            <w:hideMark/>
          </w:tcPr>
          <w:p w:rsidR="00290B0A" w:rsidRPr="00290B0A" w:rsidRDefault="00290B0A" w:rsidP="00245C85">
            <w:pPr>
              <w:suppressAutoHyphens w:val="0"/>
              <w:spacing w:after="0"/>
              <w:jc w:val="right"/>
            </w:pPr>
            <w:proofErr w:type="spellStart"/>
            <w:r w:rsidRPr="00290B0A">
              <w:t>Eeast</w:t>
            </w:r>
            <w:proofErr w:type="spellEnd"/>
            <w:r w:rsidRPr="00290B0A">
              <w:t xml:space="preserve"> Rural</w:t>
            </w:r>
          </w:p>
        </w:tc>
        <w:tc>
          <w:tcPr>
            <w:tcW w:w="3060" w:type="dxa"/>
            <w:tcBorders>
              <w:top w:val="nil"/>
              <w:left w:val="nil"/>
              <w:bottom w:val="nil"/>
              <w:right w:val="nil"/>
            </w:tcBorders>
            <w:shd w:val="clear" w:color="auto" w:fill="auto"/>
            <w:noWrap/>
            <w:vAlign w:val="center"/>
            <w:hideMark/>
          </w:tcPr>
          <w:p w:rsidR="00290B0A" w:rsidRPr="00290B0A" w:rsidRDefault="00290B0A" w:rsidP="00245C85">
            <w:pPr>
              <w:suppressAutoHyphens w:val="0"/>
              <w:spacing w:after="0"/>
              <w:jc w:val="center"/>
            </w:pPr>
            <w:r w:rsidRPr="00290B0A">
              <w:t>2114.05</w:t>
            </w:r>
          </w:p>
        </w:tc>
      </w:tr>
      <w:tr w:rsidR="00290B0A" w:rsidRPr="00290B0A" w:rsidTr="00245C85">
        <w:trPr>
          <w:trHeight w:val="315"/>
          <w:jc w:val="center"/>
        </w:trPr>
        <w:tc>
          <w:tcPr>
            <w:tcW w:w="2880" w:type="dxa"/>
            <w:tcBorders>
              <w:top w:val="nil"/>
              <w:left w:val="nil"/>
              <w:bottom w:val="nil"/>
              <w:right w:val="nil"/>
            </w:tcBorders>
            <w:shd w:val="clear" w:color="auto" w:fill="auto"/>
            <w:noWrap/>
            <w:vAlign w:val="center"/>
            <w:hideMark/>
          </w:tcPr>
          <w:p w:rsidR="00290B0A" w:rsidRPr="00290B0A" w:rsidRDefault="00290B0A" w:rsidP="00245C85">
            <w:pPr>
              <w:suppressAutoHyphens w:val="0"/>
              <w:spacing w:after="0"/>
              <w:jc w:val="right"/>
            </w:pPr>
            <w:r w:rsidRPr="00290B0A">
              <w:t>North rural</w:t>
            </w:r>
          </w:p>
        </w:tc>
        <w:tc>
          <w:tcPr>
            <w:tcW w:w="3060" w:type="dxa"/>
            <w:tcBorders>
              <w:top w:val="nil"/>
              <w:left w:val="nil"/>
              <w:bottom w:val="nil"/>
              <w:right w:val="nil"/>
            </w:tcBorders>
            <w:shd w:val="clear" w:color="auto" w:fill="auto"/>
            <w:noWrap/>
            <w:vAlign w:val="center"/>
            <w:hideMark/>
          </w:tcPr>
          <w:p w:rsidR="00290B0A" w:rsidRPr="00290B0A" w:rsidRDefault="00290B0A" w:rsidP="00245C85">
            <w:pPr>
              <w:suppressAutoHyphens w:val="0"/>
              <w:spacing w:after="0"/>
              <w:jc w:val="center"/>
            </w:pPr>
            <w:r w:rsidRPr="00290B0A">
              <w:t>2111.02</w:t>
            </w:r>
          </w:p>
        </w:tc>
      </w:tr>
      <w:tr w:rsidR="00290B0A" w:rsidRPr="00290B0A" w:rsidTr="00245C85">
        <w:trPr>
          <w:trHeight w:val="315"/>
          <w:jc w:val="center"/>
        </w:trPr>
        <w:tc>
          <w:tcPr>
            <w:tcW w:w="2880" w:type="dxa"/>
            <w:tcBorders>
              <w:top w:val="nil"/>
              <w:left w:val="nil"/>
              <w:right w:val="nil"/>
            </w:tcBorders>
            <w:shd w:val="clear" w:color="auto" w:fill="auto"/>
            <w:noWrap/>
            <w:vAlign w:val="center"/>
            <w:hideMark/>
          </w:tcPr>
          <w:p w:rsidR="00290B0A" w:rsidRPr="00290B0A" w:rsidRDefault="00290B0A" w:rsidP="00245C85">
            <w:pPr>
              <w:suppressAutoHyphens w:val="0"/>
              <w:spacing w:after="0"/>
              <w:jc w:val="right"/>
            </w:pPr>
            <w:r w:rsidRPr="00290B0A">
              <w:t>West rural</w:t>
            </w:r>
          </w:p>
        </w:tc>
        <w:tc>
          <w:tcPr>
            <w:tcW w:w="3060" w:type="dxa"/>
            <w:tcBorders>
              <w:top w:val="nil"/>
              <w:left w:val="nil"/>
              <w:right w:val="nil"/>
            </w:tcBorders>
            <w:shd w:val="clear" w:color="auto" w:fill="auto"/>
            <w:noWrap/>
            <w:vAlign w:val="center"/>
            <w:hideMark/>
          </w:tcPr>
          <w:p w:rsidR="00290B0A" w:rsidRPr="00290B0A" w:rsidRDefault="00290B0A" w:rsidP="00245C85">
            <w:pPr>
              <w:suppressAutoHyphens w:val="0"/>
              <w:spacing w:after="0"/>
              <w:jc w:val="center"/>
            </w:pPr>
            <w:r w:rsidRPr="00290B0A">
              <w:t>2138.29</w:t>
            </w:r>
          </w:p>
        </w:tc>
      </w:tr>
      <w:tr w:rsidR="00290B0A" w:rsidRPr="00290B0A" w:rsidTr="00245C85">
        <w:trPr>
          <w:trHeight w:val="315"/>
          <w:jc w:val="center"/>
        </w:trPr>
        <w:tc>
          <w:tcPr>
            <w:tcW w:w="2880" w:type="dxa"/>
            <w:tcBorders>
              <w:top w:val="nil"/>
              <w:left w:val="nil"/>
              <w:bottom w:val="thickThinSmallGap" w:sz="24" w:space="0" w:color="auto"/>
              <w:right w:val="nil"/>
            </w:tcBorders>
            <w:shd w:val="clear" w:color="auto" w:fill="auto"/>
            <w:noWrap/>
            <w:vAlign w:val="center"/>
            <w:hideMark/>
          </w:tcPr>
          <w:p w:rsidR="00290B0A" w:rsidRPr="00290B0A" w:rsidRDefault="00290B0A" w:rsidP="00245C85">
            <w:pPr>
              <w:suppressAutoHyphens w:val="0"/>
              <w:spacing w:after="0"/>
              <w:jc w:val="right"/>
            </w:pPr>
            <w:r w:rsidRPr="00290B0A">
              <w:t>other urban</w:t>
            </w:r>
          </w:p>
        </w:tc>
        <w:tc>
          <w:tcPr>
            <w:tcW w:w="3060" w:type="dxa"/>
            <w:tcBorders>
              <w:top w:val="nil"/>
              <w:left w:val="nil"/>
              <w:bottom w:val="thickThinSmallGap" w:sz="24" w:space="0" w:color="auto"/>
              <w:right w:val="nil"/>
            </w:tcBorders>
            <w:shd w:val="clear" w:color="auto" w:fill="auto"/>
            <w:noWrap/>
            <w:vAlign w:val="center"/>
            <w:hideMark/>
          </w:tcPr>
          <w:p w:rsidR="00290B0A" w:rsidRPr="00290B0A" w:rsidRDefault="00290B0A" w:rsidP="00245C85">
            <w:pPr>
              <w:suppressAutoHyphens w:val="0"/>
              <w:spacing w:after="0"/>
              <w:jc w:val="center"/>
            </w:pPr>
            <w:r w:rsidRPr="00290B0A">
              <w:t>2160.56</w:t>
            </w:r>
          </w:p>
        </w:tc>
      </w:tr>
    </w:tbl>
    <w:p w:rsidR="00845EC4" w:rsidRDefault="00845EC4"/>
    <w:p w:rsidR="0004154A" w:rsidRDefault="00B35772">
      <w:r>
        <w:t xml:space="preserve">In addition to heterogeneity in basic needs caused by demographics, </w:t>
      </w:r>
      <w:r w:rsidR="00C16F6B">
        <w:t>Uganda has a very diverse diet.</w:t>
      </w:r>
      <w:r w:rsidR="00882EFC">
        <w:t xml:space="preserve"> While in most of East and Southern</w:t>
      </w:r>
      <w:r w:rsidR="00C16F6B">
        <w:t xml:space="preserve"> </w:t>
      </w:r>
      <w:r w:rsidR="00882EFC">
        <w:t>Africa, diets are heavily skewed towards maize, there are at least 4 other staples that are</w:t>
      </w:r>
      <w:r w:rsidR="0004154A">
        <w:t xml:space="preserve"> widely consumed within Uganda: </w:t>
      </w:r>
      <w:proofErr w:type="spellStart"/>
      <w:r w:rsidR="0004154A">
        <w:t>matooke</w:t>
      </w:r>
      <w:proofErr w:type="spellEnd"/>
      <w:r w:rsidR="0004154A">
        <w:t xml:space="preserve">, cassava, sweet potatoes and sorghum. </w:t>
      </w:r>
      <w:r w:rsidR="00C16F6B">
        <w:t>In addition to these staples, Ugandans also derive a lot of energy from beans</w:t>
      </w:r>
      <w:r w:rsidR="0004154A">
        <w:t>, and in some parts, millet is also considered a staple</w:t>
      </w:r>
      <w:r w:rsidR="00C16F6B">
        <w:t>.</w:t>
      </w:r>
      <w:r w:rsidR="0004154A">
        <w:t xml:space="preserve"> Rice is becoming more important, but mostly at the upper end of the welfare distribution.</w:t>
      </w:r>
      <w:r w:rsidR="00A419C7">
        <w:t xml:space="preserve"> </w:t>
      </w:r>
    </w:p>
    <w:p w:rsidR="00845EC4" w:rsidRDefault="00C16F6B">
      <w:r>
        <w:t xml:space="preserve">To illustrate the unusual variation in diets in Uganda, we have selected </w:t>
      </w:r>
      <w:r w:rsidR="0004154A">
        <w:t xml:space="preserve">the </w:t>
      </w:r>
      <w:r>
        <w:t>five</w:t>
      </w:r>
      <w:r w:rsidR="0004154A">
        <w:t xml:space="preserve"> most consumed</w:t>
      </w:r>
      <w:r>
        <w:t xml:space="preserve"> staple crops</w:t>
      </w:r>
      <w:r w:rsidR="0004154A">
        <w:t xml:space="preserve"> in terms of calories</w:t>
      </w:r>
      <w:r>
        <w:t xml:space="preserve"> in Uganda</w:t>
      </w:r>
      <w:r w:rsidR="0004154A">
        <w:t xml:space="preserve"> by the poor</w:t>
      </w:r>
      <w:r>
        <w:t>. We have</w:t>
      </w:r>
      <w:r w:rsidR="0004154A">
        <w:t xml:space="preserve"> then</w:t>
      </w:r>
      <w:r>
        <w:t xml:space="preserve"> calculate how much calories a typical poor person derives from each of these crops in rural areas </w:t>
      </w:r>
      <w:r w:rsidR="00EB1EB0">
        <w:t>of</w:t>
      </w:r>
      <w:r>
        <w:t xml:space="preserve"> each of the four </w:t>
      </w:r>
      <w:r>
        <w:lastRenderedPageBreak/>
        <w:t>regions</w:t>
      </w:r>
      <w:r w:rsidR="00EB1EB0">
        <w:t xml:space="preserve"> (Central, Eastern, North and Western)</w:t>
      </w:r>
      <w:r>
        <w:t xml:space="preserve">. This is illustrated in the </w:t>
      </w:r>
      <w:proofErr w:type="spellStart"/>
      <w:r>
        <w:t>dotchart</w:t>
      </w:r>
      <w:proofErr w:type="spellEnd"/>
      <w:r>
        <w:t xml:space="preserve"> in Figure </w:t>
      </w:r>
      <w:r w:rsidR="00EB1EB0">
        <w:t>2</w:t>
      </w:r>
      <w:r>
        <w:t xml:space="preserve">. The chart shows </w:t>
      </w:r>
    </w:p>
    <w:p w:rsidR="00E479CB" w:rsidRDefault="00E479CB" w:rsidP="00E479CB">
      <w:pPr>
        <w:jc w:val="center"/>
      </w:pPr>
      <w:r>
        <w:t>Figure 2: Calories derived by the poor from different crops per region</w:t>
      </w:r>
    </w:p>
    <w:p w:rsidR="00E479CB" w:rsidRDefault="00E479CB" w:rsidP="00E479CB">
      <w:pPr>
        <w:jc w:val="center"/>
      </w:pPr>
      <w:r w:rsidRPr="00E479CB">
        <w:rPr>
          <w:noProof/>
        </w:rPr>
        <w:drawing>
          <wp:inline distT="0" distB="0" distL="0" distR="0">
            <wp:extent cx="4374515" cy="429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4515" cy="4293870"/>
                    </a:xfrm>
                    <a:prstGeom prst="rect">
                      <a:avLst/>
                    </a:prstGeom>
                    <a:noFill/>
                    <a:ln>
                      <a:noFill/>
                    </a:ln>
                  </pic:spPr>
                </pic:pic>
              </a:graphicData>
            </a:graphic>
          </wp:inline>
        </w:drawing>
      </w:r>
    </w:p>
    <w:p w:rsidR="00E479CB" w:rsidRDefault="00E479CB" w:rsidP="00E479CB">
      <w:pPr>
        <w:jc w:val="center"/>
      </w:pPr>
      <w:r>
        <w:t>Source: own calculations on the basis of UNHS 2012/13</w:t>
      </w:r>
    </w:p>
    <w:p w:rsidR="00845EC4" w:rsidRDefault="00C16F6B">
      <w:r>
        <w:t xml:space="preserve">Differences in diets would not really be a problem for poverty measurement and analysis if the cost of arriving at a specified level of calories would be the same regardless of the diet. However, different products often widely differ in terms of the price per kilo calorie. This is illustrated in the </w:t>
      </w:r>
      <w:proofErr w:type="spellStart"/>
      <w:r>
        <w:t>barchart</w:t>
      </w:r>
      <w:proofErr w:type="spellEnd"/>
      <w:r>
        <w:t xml:space="preserve"> in figure </w:t>
      </w:r>
      <w:r w:rsidR="00E479CB">
        <w:t xml:space="preserve">3. The </w:t>
      </w:r>
      <w:proofErr w:type="spellStart"/>
      <w:r w:rsidR="00E479CB">
        <w:t>barchart</w:t>
      </w:r>
      <w:proofErr w:type="spellEnd"/>
      <w:r w:rsidR="00E479CB">
        <w:t xml:space="preserve"> shows that </w:t>
      </w:r>
      <w:proofErr w:type="spellStart"/>
      <w:r w:rsidR="00E479CB">
        <w:t>matooke</w:t>
      </w:r>
      <w:proofErr w:type="spellEnd"/>
      <w:r w:rsidR="00E479CB">
        <w:t>, a staple that is consumed by many people in Uganda</w:t>
      </w:r>
      <w:r w:rsidR="00B02B6A">
        <w:t xml:space="preserve">, is rather inefficient as a source of calories. The same amount of calories can be obtained at less than half of the cost of </w:t>
      </w:r>
      <w:proofErr w:type="spellStart"/>
      <w:r w:rsidR="00B02B6A">
        <w:t>matooke</w:t>
      </w:r>
      <w:proofErr w:type="spellEnd"/>
      <w:r w:rsidR="00B02B6A">
        <w:t xml:space="preserve"> by choosing to consume Sorghum and Cassava. </w:t>
      </w:r>
    </w:p>
    <w:p w:rsidR="00845EC4" w:rsidRDefault="00E479CB" w:rsidP="00E479CB">
      <w:pPr>
        <w:jc w:val="center"/>
      </w:pPr>
      <w:r>
        <w:t>Figure 3: Average price per kcal for different crops</w:t>
      </w:r>
    </w:p>
    <w:p w:rsidR="00E479CB" w:rsidRDefault="00E479CB" w:rsidP="00E479CB">
      <w:pPr>
        <w:jc w:val="center"/>
      </w:pPr>
      <w:r w:rsidRPr="00E479CB">
        <w:rPr>
          <w:noProof/>
        </w:rPr>
        <w:lastRenderedPageBreak/>
        <w:drawing>
          <wp:inline distT="0" distB="0" distL="0" distR="0">
            <wp:extent cx="4520565" cy="4257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0565" cy="4257675"/>
                    </a:xfrm>
                    <a:prstGeom prst="rect">
                      <a:avLst/>
                    </a:prstGeom>
                    <a:noFill/>
                    <a:ln>
                      <a:noFill/>
                    </a:ln>
                  </pic:spPr>
                </pic:pic>
              </a:graphicData>
            </a:graphic>
          </wp:inline>
        </w:drawing>
      </w:r>
    </w:p>
    <w:p w:rsidR="00E479CB" w:rsidRDefault="00E479CB" w:rsidP="00E479CB">
      <w:pPr>
        <w:jc w:val="center"/>
      </w:pPr>
      <w:r>
        <w:t>Source: own calculations on the basis of UNHS 2012/13</w:t>
      </w:r>
    </w:p>
    <w:p w:rsidR="005478BD" w:rsidRDefault="008754B4" w:rsidP="006C3E36">
      <w:r>
        <w:t xml:space="preserve">Referring back to Figure 2, we found that people living in Western Uganda derive almost all their calories from </w:t>
      </w:r>
      <w:proofErr w:type="spellStart"/>
      <w:r>
        <w:t>Matooke</w:t>
      </w:r>
      <w:proofErr w:type="spellEnd"/>
      <w:r>
        <w:t xml:space="preserve">. People in the North, on the other hand, have diets that are dominated by sorghum. A basic needs basket that takes into account local diets will therefore differ in cost. In particular, the cost of obtaining a given amount of food energy in the West will be much higher than the cost of obtaining this same amount of energy using the Northern diet. </w:t>
      </w:r>
      <w:r w:rsidR="00E92F95">
        <w:t>It is well established that in cases</w:t>
      </w:r>
      <w:r w:rsidR="006C3E36">
        <w:t xml:space="preserve"> such as Uganda, with</w:t>
      </w:r>
      <w:r w:rsidR="00E92F95">
        <w:t xml:space="preserve"> a high degree of substitution among basic staples from one region to another and differences in relative food prices, a poverty line that does not allow for regional variation in food consumption bundles</w:t>
      </w:r>
      <w:r w:rsidR="006C3E36">
        <w:t xml:space="preserve"> may </w:t>
      </w:r>
      <w:r w:rsidR="00896469">
        <w:t>generate inconsistent poverty comparisons</w:t>
      </w:r>
      <w:r w:rsidR="006C3E36">
        <w:t xml:space="preserve"> (Tarp et al 2002). </w:t>
      </w:r>
    </w:p>
    <w:p w:rsidR="005478BD" w:rsidRDefault="00EB1EB0" w:rsidP="00352E1B">
      <w:r w:rsidRPr="006C3E36">
        <w:t xml:space="preserve">While differences in prices in different locations are usually incorporated in poverty measurement by adjusting the welfare indicator to reflect prices used in the construction of the poverty lines (or by adjusting the poverty lines to reflect prices used in the construction of the </w:t>
      </w:r>
      <w:r w:rsidRPr="005478BD">
        <w:t>welfare indicator), it is becoming more and more common to also account for spatial heterogeneity in consumption</w:t>
      </w:r>
      <w:r w:rsidR="005478BD">
        <w:t xml:space="preserve"> patterns.</w:t>
      </w:r>
      <w:r w:rsidR="005478BD" w:rsidRPr="005478BD">
        <w:t xml:space="preserve"> Specificity, as defined by </w:t>
      </w:r>
      <w:proofErr w:type="spellStart"/>
      <w:r w:rsidR="005478BD" w:rsidRPr="005478BD">
        <w:t>Ravallion</w:t>
      </w:r>
      <w:proofErr w:type="spellEnd"/>
      <w:r w:rsidR="005478BD" w:rsidRPr="005478BD">
        <w:t xml:space="preserve"> and </w:t>
      </w:r>
      <w:proofErr w:type="spellStart"/>
      <w:r w:rsidR="005478BD" w:rsidRPr="005478BD">
        <w:t>Bidani</w:t>
      </w:r>
      <w:proofErr w:type="spellEnd"/>
      <w:r w:rsidR="005478BD" w:rsidRPr="005478BD">
        <w:t xml:space="preserve"> (1994), means that poverty lines should reflect local perceptions of what constitutes poverty. In other words, specificity requires that a locally irrelevant basket of goods should not be imposed.</w:t>
      </w:r>
      <w:r w:rsidR="005478BD">
        <w:t xml:space="preserve"> I</w:t>
      </w:r>
      <w:r w:rsidR="005478BD" w:rsidRPr="005478BD">
        <w:t xml:space="preserve">n an effort to increase </w:t>
      </w:r>
      <w:r w:rsidR="00FC05D8">
        <w:t>specificity, studies have started using consumption bundles that are disaggregated over spatial domains</w:t>
      </w:r>
      <w:r w:rsidR="005478BD" w:rsidRPr="005478BD">
        <w:t xml:space="preserve"> (e.g. </w:t>
      </w:r>
      <w:proofErr w:type="spellStart"/>
      <w:r w:rsidR="005478BD" w:rsidRPr="005478BD">
        <w:t>Ravallion</w:t>
      </w:r>
      <w:proofErr w:type="spellEnd"/>
      <w:r w:rsidR="005478BD" w:rsidRPr="005478BD">
        <w:t xml:space="preserve"> and </w:t>
      </w:r>
      <w:proofErr w:type="spellStart"/>
      <w:r w:rsidR="005478BD" w:rsidRPr="005478BD">
        <w:t>Lokshin</w:t>
      </w:r>
      <w:proofErr w:type="spellEnd"/>
      <w:r w:rsidR="005478BD" w:rsidRPr="005478BD">
        <w:t xml:space="preserve"> 2006; Mukherjee and Benson 2003)</w:t>
      </w:r>
      <w:r w:rsidR="00FC05D8">
        <w:t>.</w:t>
      </w:r>
    </w:p>
    <w:p w:rsidR="00352E1B" w:rsidRDefault="00352E1B" w:rsidP="005478BD">
      <w:pPr>
        <w:suppressAutoHyphens w:val="0"/>
        <w:spacing w:after="0"/>
        <w:jc w:val="left"/>
      </w:pPr>
      <w:r>
        <w:lastRenderedPageBreak/>
        <w:t>Given the diversity in diets in Uganda, we feel the current official poverty line that is rooted in a single national food basket is inadequate. In this study, we therefore</w:t>
      </w:r>
      <w:r w:rsidR="00351B11">
        <w:t xml:space="preserve"> construct a new poverty line that</w:t>
      </w:r>
      <w:r>
        <w:t xml:space="preserve"> allow</w:t>
      </w:r>
      <w:r w:rsidR="00351B11">
        <w:t>s</w:t>
      </w:r>
      <w:r>
        <w:t xml:space="preserve"> consumption bundles to vary by location</w:t>
      </w:r>
      <w:r w:rsidR="00351B11">
        <w:t>. In particular, we will</w:t>
      </w:r>
      <w:r>
        <w:t xml:space="preserve"> define </w:t>
      </w:r>
      <w:r w:rsidR="00351B11">
        <w:t>6 spatial domains within Uganda that will each have their own basic needs bundle. The domains are: Kampala, Central Rural, Eastern Rural, Northern Rural, Western Rural and Other Urban. While these spatial domains are obviously not perfect, and higher specificity would be desirable, one also needs to make sure there are sufficient observations in each domain</w:t>
      </w:r>
      <w:r w:rsidR="002B716F">
        <w:t>.</w:t>
      </w:r>
      <w:r w:rsidR="00351B11">
        <w:t xml:space="preserve"> </w:t>
      </w:r>
    </w:p>
    <w:p w:rsidR="005478BD" w:rsidRPr="005478BD" w:rsidRDefault="005478BD" w:rsidP="005478BD">
      <w:pPr>
        <w:suppressAutoHyphens w:val="0"/>
        <w:spacing w:after="0"/>
        <w:jc w:val="left"/>
        <w:rPr>
          <w:color w:val="auto"/>
          <w:sz w:val="30"/>
          <w:szCs w:val="30"/>
        </w:rPr>
      </w:pPr>
    </w:p>
    <w:p w:rsidR="00845EC4" w:rsidRPr="00CF3BDC" w:rsidRDefault="00091926" w:rsidP="00CF3BDC">
      <w:pPr>
        <w:rPr>
          <w:b/>
          <w:i/>
        </w:rPr>
      </w:pPr>
      <w:r w:rsidRPr="00CF3BDC">
        <w:rPr>
          <w:b/>
          <w:i/>
        </w:rPr>
        <w:t>Utility consistency</w:t>
      </w:r>
    </w:p>
    <w:p w:rsidR="009A0D9E" w:rsidRPr="009A0D9E" w:rsidRDefault="009A0D9E" w:rsidP="009A0D9E">
      <w:r w:rsidRPr="009A0D9E">
        <w:t xml:space="preserve">Allowing for different basic needs bundles in each location improves on </w:t>
      </w:r>
      <w:r w:rsidR="00A71ED0" w:rsidRPr="009A0D9E">
        <w:t>specificity</w:t>
      </w:r>
      <w:r w:rsidRPr="009A0D9E">
        <w:t xml:space="preserve">. But how can we be sure that two different consumption bundles provide the same basic needs? Or, in the language of </w:t>
      </w:r>
      <w:proofErr w:type="spellStart"/>
      <w:r w:rsidRPr="009A0D9E">
        <w:t>Ravallion</w:t>
      </w:r>
      <w:proofErr w:type="spellEnd"/>
      <w:r w:rsidRPr="009A0D9E">
        <w:t xml:space="preserve"> and </w:t>
      </w:r>
      <w:proofErr w:type="spellStart"/>
      <w:r w:rsidRPr="009A0D9E">
        <w:t>Bidani</w:t>
      </w:r>
      <w:proofErr w:type="spellEnd"/>
      <w:r w:rsidRPr="009A0D9E">
        <w:t xml:space="preserve"> (1994), how do we ensure consistency?</w:t>
      </w:r>
      <w:r w:rsidRPr="009A0D9E">
        <w:footnoteReference w:id="6"/>
      </w:r>
      <w:r w:rsidRPr="009A0D9E">
        <w:t xml:space="preserve"> </w:t>
      </w:r>
      <w:r w:rsidR="009300D0">
        <w:t xml:space="preserve">Poverty measurement and analysis derives from welfare economics, where </w:t>
      </w:r>
      <w:r w:rsidR="009300D0" w:rsidRPr="009A0D9E">
        <w:t>utility</w:t>
      </w:r>
      <w:r w:rsidR="00A358FE">
        <w:t xml:space="preserve"> is maximized given a budget constraint. A poverty line is then defined as the cost of a consumption bundle that yields utility</w:t>
      </w:r>
      <w:r w:rsidR="009300D0" w:rsidRPr="009A0D9E">
        <w:t xml:space="preserve"> associated with the minimally acceptable standard of living</w:t>
      </w:r>
      <w:r w:rsidR="00A358FE">
        <w:t xml:space="preserve">. </w:t>
      </w:r>
      <w:r w:rsidRPr="009A0D9E">
        <w:t xml:space="preserve">In other words, two bundles of goods are consistent if they yield the same utility. </w:t>
      </w:r>
    </w:p>
    <w:p w:rsidR="00845EC4" w:rsidRPr="00932668" w:rsidRDefault="00C16F6B" w:rsidP="00932668">
      <w:r w:rsidRPr="00932668">
        <w:t>To make sure that all basic needs bundles correspond to the same utility level, we use a revealed preference approach (</w:t>
      </w:r>
      <w:proofErr w:type="spellStart"/>
      <w:r w:rsidRPr="00932668">
        <w:t>Ravallion</w:t>
      </w:r>
      <w:proofErr w:type="spellEnd"/>
      <w:r w:rsidRPr="00932668">
        <w:t xml:space="preserve"> and </w:t>
      </w:r>
      <w:proofErr w:type="spellStart"/>
      <w:r w:rsidRPr="00932668">
        <w:t>Lokshin</w:t>
      </w:r>
      <w:proofErr w:type="spellEnd"/>
      <w:r w:rsidRPr="00932668">
        <w:t xml:space="preserve">, 2006). The underlying assumption is that a rational consumer always prefer consuming more, sometimes referred to as the principle of </w:t>
      </w:r>
      <w:proofErr w:type="spellStart"/>
      <w:r w:rsidRPr="00932668">
        <w:t>nonsatiation</w:t>
      </w:r>
      <w:proofErr w:type="spellEnd"/>
      <w:r w:rsidRPr="00932668">
        <w:t>. Therefore, a particular bundle in a spatial domain will only be chosen if it minimizes expenditure. As such, we need to compare the cost of all other bundles to the cost of the bundle in a particular domain. If a bundle of the other domains turns out to be cheaper in that particular domain, it means it must have lower utility, otherwise, the rational consumer would have choses it. Thus, a particular bundle in a spatial domain is utility consistent if and only if all bundles in the other spatial domains values at the prices of the particular domain turn out to be equally or more expensive.</w:t>
      </w:r>
    </w:p>
    <w:p w:rsidR="00845EC4" w:rsidRPr="00932668" w:rsidRDefault="00717FE2" w:rsidP="00932668">
      <w:r>
        <w:t>As mentioned above, we</w:t>
      </w:r>
      <w:r w:rsidR="00C16F6B" w:rsidRPr="00932668">
        <w:t xml:space="preserve"> have 6 spatial domains. This means that each 6 bundles needs to be compared to 5 other bundles, making for a total of 30 comparisons. Of these 30 comparisons, only 8 fail the revealed preference test. Also, 7 comparisons mutually consistent, meaning that the revealed preference conditions are satisfied both when the two bundles, A and B, are evaluated at region B’s prices and when the same bundles are evaluated at region A’s prices. As there are 15 such mutual possibilities, this means that almost 50 percent are mutually consistent. This seems to be remarkable, as other studies suggest failures of revealed preference conditions occur more often than not. For example, </w:t>
      </w:r>
      <w:proofErr w:type="spellStart"/>
      <w:r w:rsidR="00C16F6B" w:rsidRPr="00932668">
        <w:t>Ravallion</w:t>
      </w:r>
      <w:proofErr w:type="spellEnd"/>
      <w:r w:rsidR="00C16F6B" w:rsidRPr="00932668">
        <w:t xml:space="preserve"> and </w:t>
      </w:r>
      <w:proofErr w:type="spellStart"/>
      <w:r w:rsidR="00C16F6B" w:rsidRPr="00932668">
        <w:t>Lokshin</w:t>
      </w:r>
      <w:proofErr w:type="spellEnd"/>
      <w:r w:rsidR="00C16F6B" w:rsidRPr="00932668">
        <w:t xml:space="preserve"> (2006) find that in Russia, revealed preference conditions are violated almost half of the time and only find 1 percent of comparisons to involve mutually consistent bundles. Arndt and </w:t>
      </w:r>
      <w:proofErr w:type="spellStart"/>
      <w:r w:rsidR="00C16F6B" w:rsidRPr="00932668">
        <w:t>Simler</w:t>
      </w:r>
      <w:proofErr w:type="spellEnd"/>
      <w:r w:rsidR="00C16F6B" w:rsidRPr="00932668">
        <w:t xml:space="preserve"> (2010) find that conditions are less violated in Egypt, but more problematic in Mozambique.</w:t>
      </w:r>
      <w:r w:rsidR="00C457D3">
        <w:t xml:space="preserve"> </w:t>
      </w:r>
      <w:r w:rsidR="00C16F6B" w:rsidRPr="00932668">
        <w:t xml:space="preserve">In case revealed preference conditions fail, adjustments need to be made to make the bundles involved pass the test. We use a minimum cross-entropy framework to adjust consumption shares in such a way </w:t>
      </w:r>
      <w:r w:rsidR="00C16F6B" w:rsidRPr="00932668">
        <w:lastRenderedPageBreak/>
        <w:t xml:space="preserve">that revealed preference conditions are satisfied. The details of this procedure are described in Arndt and </w:t>
      </w:r>
      <w:proofErr w:type="spellStart"/>
      <w:r w:rsidR="00C16F6B" w:rsidRPr="00932668">
        <w:t>Simler</w:t>
      </w:r>
      <w:proofErr w:type="spellEnd"/>
      <w:r w:rsidR="00C16F6B" w:rsidRPr="00932668">
        <w:t xml:space="preserve"> (2010)</w:t>
      </w:r>
      <w:r w:rsidR="00C457D3">
        <w:t>.</w:t>
      </w:r>
    </w:p>
    <w:p w:rsidR="006076AF" w:rsidRDefault="00932668" w:rsidP="00932668">
      <w:r w:rsidRPr="00932668">
        <w:t>It can be instructive to have a closer look at the poverty lines.</w:t>
      </w:r>
      <w:r>
        <w:t xml:space="preserve"> </w:t>
      </w:r>
      <w:r w:rsidRPr="00932668">
        <w:t>After all, poverty lines are not only useful to separate the rich</w:t>
      </w:r>
      <w:r>
        <w:t xml:space="preserve"> </w:t>
      </w:r>
      <w:r w:rsidRPr="00932668">
        <w:t>from the poor, but also serve as deflators for cost-of-living differences, permitting interpersonal welfare comparisons when the cost of acquiring basic needs varies over time or space (</w:t>
      </w:r>
      <w:proofErr w:type="spellStart"/>
      <w:r w:rsidRPr="00932668">
        <w:t>Ravallion</w:t>
      </w:r>
      <w:proofErr w:type="spellEnd"/>
      <w:r w:rsidRPr="00932668">
        <w:t>, 1998)</w:t>
      </w:r>
      <w:r w:rsidR="000D1960">
        <w:t xml:space="preserve">. Table 3 presents the resulting poverty lines after adjustments to render the different bundles utility consistent. We see that the poverty line in Kampala is highest and the poverty line in the Northern rural regions is the lowest. The difference between these two poverty lines is substantial. The poverty line for Kampala is almost 50 percent higher than the one estimated for the rural areas in the North. </w:t>
      </w:r>
    </w:p>
    <w:p w:rsidR="006479AA" w:rsidRPr="006479AA" w:rsidRDefault="000D1960" w:rsidP="006479AA">
      <w:pPr>
        <w:suppressAutoHyphens w:val="0"/>
        <w:spacing w:after="0"/>
        <w:jc w:val="left"/>
        <w:rPr>
          <w:rFonts w:ascii="Arial" w:hAnsi="Arial" w:cs="Arial"/>
          <w:color w:val="auto"/>
          <w:sz w:val="28"/>
          <w:szCs w:val="28"/>
        </w:rPr>
      </w:pPr>
      <w:r>
        <w:t>Th</w:t>
      </w:r>
      <w:r w:rsidR="006076AF">
        <w:t>e fact that the poverty line in the rural North is much lower than the poverty line in the Central or Western region is evident from figures 2 and 3. In the north, the preferred diet contains mainly sorghum and cassava, which are relatively more cost effective in generating the necessary food energy</w:t>
      </w:r>
      <w:r w:rsidR="006076AF">
        <w:rPr>
          <w:rStyle w:val="FootnoteReference"/>
        </w:rPr>
        <w:footnoteReference w:id="7"/>
      </w:r>
      <w:r w:rsidR="006076AF">
        <w:t xml:space="preserve">. </w:t>
      </w:r>
      <w:r w:rsidR="006479AA">
        <w:t xml:space="preserve">In the Central and Western regions, relatively less cost effective staples are preferred, </w:t>
      </w:r>
      <w:r w:rsidR="006479AA" w:rsidRPr="004A2ADA">
        <w:t xml:space="preserve">such as </w:t>
      </w:r>
      <w:proofErr w:type="spellStart"/>
      <w:r w:rsidR="006479AA" w:rsidRPr="004A2ADA">
        <w:t>matooke</w:t>
      </w:r>
      <w:proofErr w:type="spellEnd"/>
      <w:r w:rsidR="006479AA" w:rsidRPr="004A2ADA">
        <w:t xml:space="preserve"> in the West and </w:t>
      </w:r>
      <w:proofErr w:type="spellStart"/>
      <w:r w:rsidR="006479AA" w:rsidRPr="004A2ADA">
        <w:t>matooke</w:t>
      </w:r>
      <w:proofErr w:type="spellEnd"/>
      <w:r w:rsidR="006479AA" w:rsidRPr="004A2ADA">
        <w:t xml:space="preserve"> and sweet potatoes in the Central region. As </w:t>
      </w:r>
      <w:r w:rsidR="004A2ADA">
        <w:t>a comparison, the</w:t>
      </w:r>
      <w:r w:rsidR="006479AA" w:rsidRPr="004A2ADA">
        <w:t xml:space="preserve"> average bilateral exchange rate was</w:t>
      </w:r>
      <w:r w:rsidR="00881BA4">
        <w:t xml:space="preserve"> about</w:t>
      </w:r>
      <w:r w:rsidR="006479AA" w:rsidRPr="004A2ADA">
        <w:t xml:space="preserve"> UGX </w:t>
      </w:r>
      <w:r w:rsidR="00881BA4">
        <w:t>2,600</w:t>
      </w:r>
      <w:r w:rsidR="006479AA" w:rsidRPr="004A2ADA">
        <w:t xml:space="preserve"> per US dollar in 2012/13</w:t>
      </w:r>
      <w:r w:rsidR="004A2ADA">
        <w:t>. However, the purchasing power parity conversion factor for Uganda at that time was only about UGX</w:t>
      </w:r>
      <w:r w:rsidR="00881BA4">
        <w:t xml:space="preserve"> </w:t>
      </w:r>
      <w:r w:rsidR="004A2ADA">
        <w:t>1,000 per international dollar.</w:t>
      </w:r>
    </w:p>
    <w:p w:rsidR="00932668" w:rsidRDefault="00932668" w:rsidP="00932668"/>
    <w:p w:rsidR="00932668" w:rsidRDefault="00932668" w:rsidP="00932668">
      <w:r>
        <w:t xml:space="preserve">Table </w:t>
      </w:r>
      <w:r w:rsidR="00C43181">
        <w:t>3</w:t>
      </w:r>
      <w:r>
        <w:t>: Estimated poverty lines for each spatial domain</w:t>
      </w:r>
    </w:p>
    <w:tbl>
      <w:tblPr>
        <w:tblW w:w="7380" w:type="dxa"/>
        <w:tblInd w:w="108" w:type="dxa"/>
        <w:tblLook w:val="04A0" w:firstRow="1" w:lastRow="0" w:firstColumn="1" w:lastColumn="0" w:noHBand="0" w:noVBand="1"/>
      </w:tblPr>
      <w:tblGrid>
        <w:gridCol w:w="1440"/>
        <w:gridCol w:w="1940"/>
        <w:gridCol w:w="1900"/>
        <w:gridCol w:w="1120"/>
        <w:gridCol w:w="980"/>
      </w:tblGrid>
      <w:tr w:rsidR="00932668" w:rsidRPr="00932668" w:rsidTr="00C43181">
        <w:trPr>
          <w:trHeight w:val="255"/>
        </w:trPr>
        <w:tc>
          <w:tcPr>
            <w:tcW w:w="1440" w:type="dxa"/>
            <w:tcBorders>
              <w:top w:val="thinThickSmallGap" w:sz="24" w:space="0" w:color="auto"/>
              <w:left w:val="nil"/>
              <w:bottom w:val="single" w:sz="4" w:space="0" w:color="auto"/>
              <w:right w:val="nil"/>
            </w:tcBorders>
            <w:shd w:val="clear" w:color="auto" w:fill="auto"/>
            <w:noWrap/>
            <w:vAlign w:val="bottom"/>
            <w:hideMark/>
          </w:tcPr>
          <w:p w:rsidR="00932668" w:rsidRPr="00932668" w:rsidRDefault="00932668" w:rsidP="00932668">
            <w:pPr>
              <w:suppressAutoHyphens w:val="0"/>
              <w:spacing w:after="0"/>
              <w:jc w:val="left"/>
              <w:rPr>
                <w:rFonts w:ascii="Arial" w:hAnsi="Arial" w:cs="Arial"/>
                <w:color w:val="auto"/>
                <w:sz w:val="20"/>
                <w:szCs w:val="20"/>
              </w:rPr>
            </w:pPr>
            <w:r w:rsidRPr="00932668">
              <w:rPr>
                <w:rFonts w:ascii="Arial" w:hAnsi="Arial" w:cs="Arial"/>
                <w:color w:val="auto"/>
                <w:sz w:val="20"/>
                <w:szCs w:val="20"/>
              </w:rPr>
              <w:t>spatial domain</w:t>
            </w:r>
          </w:p>
        </w:tc>
        <w:tc>
          <w:tcPr>
            <w:tcW w:w="1940" w:type="dxa"/>
            <w:tcBorders>
              <w:top w:val="thinThickSmallGap" w:sz="24" w:space="0" w:color="auto"/>
              <w:left w:val="nil"/>
              <w:bottom w:val="single" w:sz="4" w:space="0" w:color="auto"/>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proofErr w:type="spellStart"/>
            <w:r w:rsidRPr="00932668">
              <w:rPr>
                <w:rFonts w:ascii="Arial" w:hAnsi="Arial" w:cs="Arial"/>
                <w:color w:val="auto"/>
                <w:sz w:val="20"/>
                <w:szCs w:val="20"/>
              </w:rPr>
              <w:t>non food</w:t>
            </w:r>
            <w:proofErr w:type="spellEnd"/>
            <w:r w:rsidRPr="00932668">
              <w:rPr>
                <w:rFonts w:ascii="Arial" w:hAnsi="Arial" w:cs="Arial"/>
                <w:color w:val="auto"/>
                <w:sz w:val="20"/>
                <w:szCs w:val="20"/>
              </w:rPr>
              <w:t xml:space="preserve"> component</w:t>
            </w:r>
          </w:p>
        </w:tc>
        <w:tc>
          <w:tcPr>
            <w:tcW w:w="1900" w:type="dxa"/>
            <w:tcBorders>
              <w:top w:val="thinThickSmallGap" w:sz="24" w:space="0" w:color="auto"/>
              <w:left w:val="nil"/>
              <w:bottom w:val="single" w:sz="4" w:space="0" w:color="auto"/>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food component</w:t>
            </w:r>
          </w:p>
        </w:tc>
        <w:tc>
          <w:tcPr>
            <w:tcW w:w="1120" w:type="dxa"/>
            <w:tcBorders>
              <w:top w:val="thinThickSmallGap" w:sz="24" w:space="0" w:color="auto"/>
              <w:left w:val="nil"/>
              <w:bottom w:val="single" w:sz="4" w:space="0" w:color="auto"/>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poverty line</w:t>
            </w:r>
          </w:p>
        </w:tc>
        <w:tc>
          <w:tcPr>
            <w:tcW w:w="980" w:type="dxa"/>
            <w:tcBorders>
              <w:top w:val="thinThickSmallGap" w:sz="24" w:space="0" w:color="auto"/>
              <w:left w:val="nil"/>
              <w:bottom w:val="single" w:sz="4" w:space="0" w:color="auto"/>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food share</w:t>
            </w:r>
          </w:p>
        </w:tc>
      </w:tr>
      <w:tr w:rsidR="00932668" w:rsidRPr="00932668" w:rsidTr="00C43181">
        <w:trPr>
          <w:trHeight w:val="255"/>
        </w:trPr>
        <w:tc>
          <w:tcPr>
            <w:tcW w:w="1440" w:type="dxa"/>
            <w:tcBorders>
              <w:top w:val="single" w:sz="4" w:space="0" w:color="auto"/>
              <w:left w:val="nil"/>
              <w:bottom w:val="nil"/>
              <w:right w:val="nil"/>
            </w:tcBorders>
            <w:shd w:val="clear" w:color="auto" w:fill="auto"/>
            <w:noWrap/>
            <w:vAlign w:val="bottom"/>
            <w:hideMark/>
          </w:tcPr>
          <w:p w:rsidR="00932668" w:rsidRPr="00932668" w:rsidRDefault="00932668" w:rsidP="00932668">
            <w:pPr>
              <w:suppressAutoHyphens w:val="0"/>
              <w:spacing w:after="0"/>
              <w:jc w:val="left"/>
              <w:rPr>
                <w:rFonts w:ascii="Arial" w:hAnsi="Arial" w:cs="Arial"/>
                <w:color w:val="auto"/>
                <w:sz w:val="20"/>
                <w:szCs w:val="20"/>
              </w:rPr>
            </w:pPr>
            <w:r w:rsidRPr="00932668">
              <w:rPr>
                <w:rFonts w:ascii="Arial" w:hAnsi="Arial" w:cs="Arial"/>
                <w:color w:val="auto"/>
                <w:sz w:val="20"/>
                <w:szCs w:val="20"/>
              </w:rPr>
              <w:t>Kampala</w:t>
            </w:r>
          </w:p>
        </w:tc>
        <w:tc>
          <w:tcPr>
            <w:tcW w:w="1940" w:type="dxa"/>
            <w:tcBorders>
              <w:top w:val="single" w:sz="4" w:space="0" w:color="auto"/>
              <w:left w:val="nil"/>
              <w:bottom w:val="nil"/>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576.41</w:t>
            </w:r>
          </w:p>
        </w:tc>
        <w:tc>
          <w:tcPr>
            <w:tcW w:w="1900" w:type="dxa"/>
            <w:tcBorders>
              <w:top w:val="single" w:sz="4" w:space="0" w:color="auto"/>
              <w:left w:val="nil"/>
              <w:bottom w:val="nil"/>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1759.64</w:t>
            </w:r>
          </w:p>
        </w:tc>
        <w:tc>
          <w:tcPr>
            <w:tcW w:w="1120" w:type="dxa"/>
            <w:tcBorders>
              <w:top w:val="single" w:sz="4" w:space="0" w:color="auto"/>
              <w:left w:val="nil"/>
              <w:bottom w:val="nil"/>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2336.05</w:t>
            </w:r>
          </w:p>
        </w:tc>
        <w:tc>
          <w:tcPr>
            <w:tcW w:w="980" w:type="dxa"/>
            <w:tcBorders>
              <w:top w:val="single" w:sz="4" w:space="0" w:color="auto"/>
              <w:left w:val="nil"/>
              <w:bottom w:val="nil"/>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0.75</w:t>
            </w:r>
          </w:p>
        </w:tc>
      </w:tr>
      <w:tr w:rsidR="00932668" w:rsidRPr="00932668" w:rsidTr="00932668">
        <w:trPr>
          <w:trHeight w:val="255"/>
        </w:trPr>
        <w:tc>
          <w:tcPr>
            <w:tcW w:w="1440" w:type="dxa"/>
            <w:tcBorders>
              <w:top w:val="nil"/>
              <w:left w:val="nil"/>
              <w:bottom w:val="nil"/>
              <w:right w:val="nil"/>
            </w:tcBorders>
            <w:shd w:val="clear" w:color="auto" w:fill="auto"/>
            <w:noWrap/>
            <w:vAlign w:val="bottom"/>
            <w:hideMark/>
          </w:tcPr>
          <w:p w:rsidR="00932668" w:rsidRPr="00932668" w:rsidRDefault="00932668" w:rsidP="00932668">
            <w:pPr>
              <w:suppressAutoHyphens w:val="0"/>
              <w:spacing w:after="0"/>
              <w:jc w:val="left"/>
              <w:rPr>
                <w:rFonts w:ascii="Arial" w:hAnsi="Arial" w:cs="Arial"/>
                <w:color w:val="auto"/>
                <w:sz w:val="20"/>
                <w:szCs w:val="20"/>
              </w:rPr>
            </w:pPr>
            <w:r w:rsidRPr="00932668">
              <w:rPr>
                <w:rFonts w:ascii="Arial" w:hAnsi="Arial" w:cs="Arial"/>
                <w:color w:val="auto"/>
                <w:sz w:val="20"/>
                <w:szCs w:val="20"/>
              </w:rPr>
              <w:t>Central Rural</w:t>
            </w:r>
          </w:p>
        </w:tc>
        <w:tc>
          <w:tcPr>
            <w:tcW w:w="1940" w:type="dxa"/>
            <w:tcBorders>
              <w:top w:val="nil"/>
              <w:left w:val="nil"/>
              <w:bottom w:val="nil"/>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695.51</w:t>
            </w:r>
          </w:p>
        </w:tc>
        <w:tc>
          <w:tcPr>
            <w:tcW w:w="1900" w:type="dxa"/>
            <w:tcBorders>
              <w:top w:val="nil"/>
              <w:left w:val="nil"/>
              <w:bottom w:val="nil"/>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1418.86</w:t>
            </w:r>
          </w:p>
        </w:tc>
        <w:tc>
          <w:tcPr>
            <w:tcW w:w="1120" w:type="dxa"/>
            <w:tcBorders>
              <w:top w:val="nil"/>
              <w:left w:val="nil"/>
              <w:bottom w:val="nil"/>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2114.37</w:t>
            </w:r>
          </w:p>
        </w:tc>
        <w:tc>
          <w:tcPr>
            <w:tcW w:w="980" w:type="dxa"/>
            <w:tcBorders>
              <w:top w:val="nil"/>
              <w:left w:val="nil"/>
              <w:bottom w:val="nil"/>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0.67</w:t>
            </w:r>
          </w:p>
        </w:tc>
      </w:tr>
      <w:tr w:rsidR="00932668" w:rsidRPr="00932668" w:rsidTr="00932668">
        <w:trPr>
          <w:trHeight w:val="255"/>
        </w:trPr>
        <w:tc>
          <w:tcPr>
            <w:tcW w:w="1440" w:type="dxa"/>
            <w:tcBorders>
              <w:top w:val="nil"/>
              <w:left w:val="nil"/>
              <w:bottom w:val="nil"/>
              <w:right w:val="nil"/>
            </w:tcBorders>
            <w:shd w:val="clear" w:color="auto" w:fill="auto"/>
            <w:noWrap/>
            <w:vAlign w:val="bottom"/>
            <w:hideMark/>
          </w:tcPr>
          <w:p w:rsidR="00932668" w:rsidRPr="00932668" w:rsidRDefault="00932668" w:rsidP="00932668">
            <w:pPr>
              <w:suppressAutoHyphens w:val="0"/>
              <w:spacing w:after="0"/>
              <w:jc w:val="left"/>
              <w:rPr>
                <w:rFonts w:ascii="Arial" w:hAnsi="Arial" w:cs="Arial"/>
                <w:color w:val="auto"/>
                <w:sz w:val="20"/>
                <w:szCs w:val="20"/>
              </w:rPr>
            </w:pPr>
            <w:r w:rsidRPr="00932668">
              <w:rPr>
                <w:rFonts w:ascii="Arial" w:hAnsi="Arial" w:cs="Arial"/>
                <w:color w:val="auto"/>
                <w:sz w:val="20"/>
                <w:szCs w:val="20"/>
              </w:rPr>
              <w:t>East Rural</w:t>
            </w:r>
          </w:p>
        </w:tc>
        <w:tc>
          <w:tcPr>
            <w:tcW w:w="1940" w:type="dxa"/>
            <w:tcBorders>
              <w:top w:val="nil"/>
              <w:left w:val="nil"/>
              <w:bottom w:val="nil"/>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477.68</w:t>
            </w:r>
          </w:p>
        </w:tc>
        <w:tc>
          <w:tcPr>
            <w:tcW w:w="1900" w:type="dxa"/>
            <w:tcBorders>
              <w:top w:val="nil"/>
              <w:left w:val="nil"/>
              <w:bottom w:val="nil"/>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1144.39</w:t>
            </w:r>
          </w:p>
        </w:tc>
        <w:tc>
          <w:tcPr>
            <w:tcW w:w="1120" w:type="dxa"/>
            <w:tcBorders>
              <w:top w:val="nil"/>
              <w:left w:val="nil"/>
              <w:bottom w:val="nil"/>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1622.07</w:t>
            </w:r>
          </w:p>
        </w:tc>
        <w:tc>
          <w:tcPr>
            <w:tcW w:w="980" w:type="dxa"/>
            <w:tcBorders>
              <w:top w:val="nil"/>
              <w:left w:val="nil"/>
              <w:bottom w:val="nil"/>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0.71</w:t>
            </w:r>
          </w:p>
        </w:tc>
      </w:tr>
      <w:tr w:rsidR="00932668" w:rsidRPr="00932668" w:rsidTr="00932668">
        <w:trPr>
          <w:trHeight w:val="255"/>
        </w:trPr>
        <w:tc>
          <w:tcPr>
            <w:tcW w:w="1440" w:type="dxa"/>
            <w:tcBorders>
              <w:top w:val="nil"/>
              <w:left w:val="nil"/>
              <w:bottom w:val="nil"/>
              <w:right w:val="nil"/>
            </w:tcBorders>
            <w:shd w:val="clear" w:color="auto" w:fill="auto"/>
            <w:noWrap/>
            <w:vAlign w:val="bottom"/>
            <w:hideMark/>
          </w:tcPr>
          <w:p w:rsidR="00932668" w:rsidRPr="00932668" w:rsidRDefault="00932668" w:rsidP="00932668">
            <w:pPr>
              <w:suppressAutoHyphens w:val="0"/>
              <w:spacing w:after="0"/>
              <w:jc w:val="left"/>
              <w:rPr>
                <w:rFonts w:ascii="Arial" w:hAnsi="Arial" w:cs="Arial"/>
                <w:color w:val="auto"/>
                <w:sz w:val="20"/>
                <w:szCs w:val="20"/>
              </w:rPr>
            </w:pPr>
            <w:r w:rsidRPr="00932668">
              <w:rPr>
                <w:rFonts w:ascii="Arial" w:hAnsi="Arial" w:cs="Arial"/>
                <w:color w:val="auto"/>
                <w:sz w:val="20"/>
                <w:szCs w:val="20"/>
              </w:rPr>
              <w:t>North Rural</w:t>
            </w:r>
          </w:p>
        </w:tc>
        <w:tc>
          <w:tcPr>
            <w:tcW w:w="1940" w:type="dxa"/>
            <w:tcBorders>
              <w:top w:val="nil"/>
              <w:left w:val="nil"/>
              <w:bottom w:val="nil"/>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454.78</w:t>
            </w:r>
          </w:p>
        </w:tc>
        <w:tc>
          <w:tcPr>
            <w:tcW w:w="1900" w:type="dxa"/>
            <w:tcBorders>
              <w:top w:val="nil"/>
              <w:left w:val="nil"/>
              <w:bottom w:val="nil"/>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1141.45</w:t>
            </w:r>
          </w:p>
        </w:tc>
        <w:tc>
          <w:tcPr>
            <w:tcW w:w="1120" w:type="dxa"/>
            <w:tcBorders>
              <w:top w:val="nil"/>
              <w:left w:val="nil"/>
              <w:bottom w:val="nil"/>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1596.23</w:t>
            </w:r>
          </w:p>
        </w:tc>
        <w:tc>
          <w:tcPr>
            <w:tcW w:w="980" w:type="dxa"/>
            <w:tcBorders>
              <w:top w:val="nil"/>
              <w:left w:val="nil"/>
              <w:bottom w:val="nil"/>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0.72</w:t>
            </w:r>
          </w:p>
        </w:tc>
      </w:tr>
      <w:tr w:rsidR="00932668" w:rsidRPr="00932668" w:rsidTr="00C43181">
        <w:trPr>
          <w:trHeight w:val="255"/>
        </w:trPr>
        <w:tc>
          <w:tcPr>
            <w:tcW w:w="1440" w:type="dxa"/>
            <w:tcBorders>
              <w:top w:val="nil"/>
              <w:left w:val="nil"/>
              <w:right w:val="nil"/>
            </w:tcBorders>
            <w:shd w:val="clear" w:color="auto" w:fill="auto"/>
            <w:noWrap/>
            <w:vAlign w:val="bottom"/>
            <w:hideMark/>
          </w:tcPr>
          <w:p w:rsidR="00932668" w:rsidRPr="00932668" w:rsidRDefault="00932668" w:rsidP="00932668">
            <w:pPr>
              <w:suppressAutoHyphens w:val="0"/>
              <w:spacing w:after="0"/>
              <w:jc w:val="left"/>
              <w:rPr>
                <w:rFonts w:ascii="Arial" w:hAnsi="Arial" w:cs="Arial"/>
                <w:color w:val="auto"/>
                <w:sz w:val="20"/>
                <w:szCs w:val="20"/>
              </w:rPr>
            </w:pPr>
            <w:r w:rsidRPr="00932668">
              <w:rPr>
                <w:rFonts w:ascii="Arial" w:hAnsi="Arial" w:cs="Arial"/>
                <w:color w:val="auto"/>
                <w:sz w:val="20"/>
                <w:szCs w:val="20"/>
              </w:rPr>
              <w:t>West Rural</w:t>
            </w:r>
          </w:p>
        </w:tc>
        <w:tc>
          <w:tcPr>
            <w:tcW w:w="1940" w:type="dxa"/>
            <w:tcBorders>
              <w:top w:val="nil"/>
              <w:left w:val="nil"/>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577.66</w:t>
            </w:r>
          </w:p>
        </w:tc>
        <w:tc>
          <w:tcPr>
            <w:tcW w:w="1900" w:type="dxa"/>
            <w:tcBorders>
              <w:top w:val="nil"/>
              <w:left w:val="nil"/>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1425.65</w:t>
            </w:r>
          </w:p>
        </w:tc>
        <w:tc>
          <w:tcPr>
            <w:tcW w:w="1120" w:type="dxa"/>
            <w:tcBorders>
              <w:top w:val="nil"/>
              <w:left w:val="nil"/>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2003.31</w:t>
            </w:r>
          </w:p>
        </w:tc>
        <w:tc>
          <w:tcPr>
            <w:tcW w:w="980" w:type="dxa"/>
            <w:tcBorders>
              <w:top w:val="nil"/>
              <w:left w:val="nil"/>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0.71</w:t>
            </w:r>
          </w:p>
        </w:tc>
      </w:tr>
      <w:tr w:rsidR="00932668" w:rsidRPr="00932668" w:rsidTr="00C43181">
        <w:trPr>
          <w:trHeight w:val="255"/>
        </w:trPr>
        <w:tc>
          <w:tcPr>
            <w:tcW w:w="1440" w:type="dxa"/>
            <w:tcBorders>
              <w:top w:val="nil"/>
              <w:left w:val="nil"/>
              <w:bottom w:val="thickThinSmallGap" w:sz="24" w:space="0" w:color="auto"/>
              <w:right w:val="nil"/>
            </w:tcBorders>
            <w:shd w:val="clear" w:color="auto" w:fill="auto"/>
            <w:noWrap/>
            <w:vAlign w:val="bottom"/>
            <w:hideMark/>
          </w:tcPr>
          <w:p w:rsidR="00932668" w:rsidRPr="00932668" w:rsidRDefault="00932668" w:rsidP="00932668">
            <w:pPr>
              <w:suppressAutoHyphens w:val="0"/>
              <w:spacing w:after="0"/>
              <w:jc w:val="left"/>
              <w:rPr>
                <w:rFonts w:ascii="Arial" w:hAnsi="Arial" w:cs="Arial"/>
                <w:color w:val="auto"/>
                <w:sz w:val="20"/>
                <w:szCs w:val="20"/>
              </w:rPr>
            </w:pPr>
            <w:r w:rsidRPr="00932668">
              <w:rPr>
                <w:rFonts w:ascii="Arial" w:hAnsi="Arial" w:cs="Arial"/>
                <w:color w:val="auto"/>
                <w:sz w:val="20"/>
                <w:szCs w:val="20"/>
              </w:rPr>
              <w:t>Other Urban</w:t>
            </w:r>
          </w:p>
        </w:tc>
        <w:tc>
          <w:tcPr>
            <w:tcW w:w="1940" w:type="dxa"/>
            <w:tcBorders>
              <w:top w:val="nil"/>
              <w:left w:val="nil"/>
              <w:bottom w:val="thickThinSmallGap" w:sz="24" w:space="0" w:color="auto"/>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579.04</w:t>
            </w:r>
          </w:p>
        </w:tc>
        <w:tc>
          <w:tcPr>
            <w:tcW w:w="1900" w:type="dxa"/>
            <w:tcBorders>
              <w:top w:val="nil"/>
              <w:left w:val="nil"/>
              <w:bottom w:val="thickThinSmallGap" w:sz="24" w:space="0" w:color="auto"/>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1354.06</w:t>
            </w:r>
          </w:p>
        </w:tc>
        <w:tc>
          <w:tcPr>
            <w:tcW w:w="1120" w:type="dxa"/>
            <w:tcBorders>
              <w:top w:val="nil"/>
              <w:left w:val="nil"/>
              <w:bottom w:val="thickThinSmallGap" w:sz="24" w:space="0" w:color="auto"/>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1933.10</w:t>
            </w:r>
          </w:p>
        </w:tc>
        <w:tc>
          <w:tcPr>
            <w:tcW w:w="980" w:type="dxa"/>
            <w:tcBorders>
              <w:top w:val="nil"/>
              <w:left w:val="nil"/>
              <w:bottom w:val="thickThinSmallGap" w:sz="24" w:space="0" w:color="auto"/>
              <w:right w:val="nil"/>
            </w:tcBorders>
            <w:shd w:val="clear" w:color="auto" w:fill="auto"/>
            <w:noWrap/>
            <w:vAlign w:val="bottom"/>
            <w:hideMark/>
          </w:tcPr>
          <w:p w:rsidR="00932668" w:rsidRPr="00932668" w:rsidRDefault="00932668" w:rsidP="00932668">
            <w:pPr>
              <w:suppressAutoHyphens w:val="0"/>
              <w:spacing w:after="0"/>
              <w:jc w:val="center"/>
              <w:rPr>
                <w:rFonts w:ascii="Arial" w:hAnsi="Arial" w:cs="Arial"/>
                <w:color w:val="auto"/>
                <w:sz w:val="20"/>
                <w:szCs w:val="20"/>
              </w:rPr>
            </w:pPr>
            <w:r w:rsidRPr="00932668">
              <w:rPr>
                <w:rFonts w:ascii="Arial" w:hAnsi="Arial" w:cs="Arial"/>
                <w:color w:val="auto"/>
                <w:sz w:val="20"/>
                <w:szCs w:val="20"/>
              </w:rPr>
              <w:t>0.70</w:t>
            </w:r>
          </w:p>
        </w:tc>
      </w:tr>
    </w:tbl>
    <w:p w:rsidR="00932668" w:rsidRDefault="00C43181" w:rsidP="00932668">
      <w:r>
        <w:t>Source: authors calculations based on the UNHS 2012/13.</w:t>
      </w:r>
    </w:p>
    <w:p w:rsidR="009E5155" w:rsidRDefault="009E5155" w:rsidP="00932668">
      <w:r>
        <w:t xml:space="preserve">While table 3 reports the poverty lines at the level of disaggregation that they were estimated, table 4 compares official and utility consistent poverty lines at the same level of disaggregation. The official updated poverty line, which has also been converted to yield the average minimum caloric requirement of the sample to make it comparable to the utility consistent line, is about 26 percent lower than the utility consistent poverty line. </w:t>
      </w:r>
      <w:r w:rsidR="004E3175">
        <w:t xml:space="preserve">If we disaggregate by region, the official poverty line does not vary a lot, except for Central, where it is a little higher due to the presence of Kampala in that region. The utility consistent poverty line is everywhere higher, but it varies a lot by region. Thus, we get that while the official poverty line for the Northern region is 20 </w:t>
      </w:r>
      <w:r w:rsidR="004E3175">
        <w:lastRenderedPageBreak/>
        <w:t>percent lower than the utility consistent poverty line, the difference increases to 33 percent in the Western region.</w:t>
      </w:r>
    </w:p>
    <w:p w:rsidR="00881BA4" w:rsidRPr="00932668" w:rsidRDefault="00881BA4" w:rsidP="00932668">
      <w:r>
        <w:t>Table 4: Estimated versus official poverty lines</w:t>
      </w:r>
    </w:p>
    <w:tbl>
      <w:tblPr>
        <w:tblW w:w="7040" w:type="dxa"/>
        <w:tblInd w:w="108" w:type="dxa"/>
        <w:tblLook w:val="04A0" w:firstRow="1" w:lastRow="0" w:firstColumn="1" w:lastColumn="0" w:noHBand="0" w:noVBand="1"/>
      </w:tblPr>
      <w:tblGrid>
        <w:gridCol w:w="1620"/>
        <w:gridCol w:w="2420"/>
        <w:gridCol w:w="3000"/>
      </w:tblGrid>
      <w:tr w:rsidR="00774875" w:rsidRPr="00774875" w:rsidTr="00774875">
        <w:trPr>
          <w:trHeight w:val="255"/>
        </w:trPr>
        <w:tc>
          <w:tcPr>
            <w:tcW w:w="1620" w:type="dxa"/>
            <w:tcBorders>
              <w:top w:val="thinThickSmallGap" w:sz="24" w:space="0" w:color="auto"/>
              <w:left w:val="nil"/>
              <w:bottom w:val="single" w:sz="4" w:space="0" w:color="auto"/>
              <w:right w:val="nil"/>
            </w:tcBorders>
            <w:shd w:val="clear" w:color="auto" w:fill="auto"/>
            <w:noWrap/>
            <w:vAlign w:val="bottom"/>
            <w:hideMark/>
          </w:tcPr>
          <w:p w:rsidR="00774875" w:rsidRPr="00774875" w:rsidRDefault="00774875" w:rsidP="00774875">
            <w:pPr>
              <w:suppressAutoHyphens w:val="0"/>
              <w:spacing w:after="0"/>
              <w:jc w:val="left"/>
              <w:rPr>
                <w:color w:val="auto"/>
                <w:sz w:val="20"/>
                <w:szCs w:val="20"/>
              </w:rPr>
            </w:pPr>
          </w:p>
        </w:tc>
        <w:tc>
          <w:tcPr>
            <w:tcW w:w="2420" w:type="dxa"/>
            <w:tcBorders>
              <w:top w:val="thinThickSmallGap" w:sz="24" w:space="0" w:color="auto"/>
              <w:left w:val="nil"/>
              <w:bottom w:val="single" w:sz="4" w:space="0" w:color="auto"/>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 xml:space="preserve">official poverty line </w:t>
            </w:r>
          </w:p>
        </w:tc>
        <w:tc>
          <w:tcPr>
            <w:tcW w:w="3000" w:type="dxa"/>
            <w:tcBorders>
              <w:top w:val="thinThickSmallGap" w:sz="24" w:space="0" w:color="auto"/>
              <w:left w:val="nil"/>
              <w:bottom w:val="single" w:sz="4" w:space="0" w:color="auto"/>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utility consistent poverty line</w:t>
            </w:r>
          </w:p>
        </w:tc>
      </w:tr>
      <w:tr w:rsidR="00774875" w:rsidRPr="00774875" w:rsidTr="00774875">
        <w:trPr>
          <w:trHeight w:val="255"/>
        </w:trPr>
        <w:tc>
          <w:tcPr>
            <w:tcW w:w="1620" w:type="dxa"/>
            <w:tcBorders>
              <w:top w:val="single" w:sz="4" w:space="0" w:color="auto"/>
              <w:left w:val="nil"/>
              <w:bottom w:val="nil"/>
              <w:right w:val="nil"/>
            </w:tcBorders>
            <w:shd w:val="clear" w:color="auto" w:fill="auto"/>
            <w:noWrap/>
            <w:vAlign w:val="bottom"/>
            <w:hideMark/>
          </w:tcPr>
          <w:p w:rsidR="00774875" w:rsidRPr="00774875" w:rsidRDefault="00774875" w:rsidP="00774875">
            <w:pPr>
              <w:suppressAutoHyphens w:val="0"/>
              <w:spacing w:after="0"/>
              <w:jc w:val="right"/>
              <w:rPr>
                <w:rFonts w:ascii="Arial" w:hAnsi="Arial" w:cs="Arial"/>
                <w:color w:val="auto"/>
                <w:sz w:val="20"/>
                <w:szCs w:val="20"/>
              </w:rPr>
            </w:pPr>
            <w:r w:rsidRPr="00774875">
              <w:rPr>
                <w:rFonts w:ascii="Arial" w:hAnsi="Arial" w:cs="Arial"/>
                <w:color w:val="auto"/>
                <w:sz w:val="20"/>
                <w:szCs w:val="20"/>
              </w:rPr>
              <w:t>national</w:t>
            </w:r>
          </w:p>
        </w:tc>
        <w:tc>
          <w:tcPr>
            <w:tcW w:w="2420" w:type="dxa"/>
            <w:tcBorders>
              <w:top w:val="single" w:sz="4" w:space="0" w:color="auto"/>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1361.59</w:t>
            </w:r>
          </w:p>
        </w:tc>
        <w:tc>
          <w:tcPr>
            <w:tcW w:w="3000" w:type="dxa"/>
            <w:tcBorders>
              <w:top w:val="single" w:sz="4" w:space="0" w:color="auto"/>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1851.53</w:t>
            </w:r>
          </w:p>
        </w:tc>
      </w:tr>
      <w:tr w:rsidR="00774875" w:rsidRPr="00774875" w:rsidTr="00774875">
        <w:trPr>
          <w:trHeight w:val="255"/>
        </w:trPr>
        <w:tc>
          <w:tcPr>
            <w:tcW w:w="162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p>
        </w:tc>
        <w:tc>
          <w:tcPr>
            <w:tcW w:w="242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right"/>
              <w:rPr>
                <w:color w:val="auto"/>
                <w:sz w:val="20"/>
                <w:szCs w:val="20"/>
              </w:rPr>
            </w:pPr>
          </w:p>
        </w:tc>
        <w:tc>
          <w:tcPr>
            <w:tcW w:w="300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color w:val="auto"/>
                <w:sz w:val="20"/>
                <w:szCs w:val="20"/>
              </w:rPr>
            </w:pPr>
          </w:p>
        </w:tc>
      </w:tr>
      <w:tr w:rsidR="00774875" w:rsidRPr="00774875" w:rsidTr="00774875">
        <w:trPr>
          <w:trHeight w:val="255"/>
        </w:trPr>
        <w:tc>
          <w:tcPr>
            <w:tcW w:w="1620" w:type="dxa"/>
            <w:tcBorders>
              <w:top w:val="nil"/>
              <w:left w:val="nil"/>
              <w:bottom w:val="nil"/>
              <w:right w:val="nil"/>
            </w:tcBorders>
            <w:shd w:val="clear" w:color="auto" w:fill="auto"/>
            <w:noWrap/>
            <w:vAlign w:val="center"/>
            <w:hideMark/>
          </w:tcPr>
          <w:p w:rsidR="00774875" w:rsidRPr="00774875" w:rsidRDefault="00774875" w:rsidP="00774875">
            <w:pPr>
              <w:suppressAutoHyphens w:val="0"/>
              <w:spacing w:after="0"/>
              <w:jc w:val="right"/>
              <w:rPr>
                <w:rFonts w:ascii="Arial" w:hAnsi="Arial" w:cs="Arial"/>
                <w:color w:val="auto"/>
                <w:sz w:val="20"/>
                <w:szCs w:val="20"/>
              </w:rPr>
            </w:pPr>
            <w:r w:rsidRPr="00774875">
              <w:rPr>
                <w:rFonts w:ascii="Arial" w:hAnsi="Arial" w:cs="Arial"/>
                <w:color w:val="auto"/>
                <w:sz w:val="20"/>
                <w:szCs w:val="20"/>
              </w:rPr>
              <w:t>Central</w:t>
            </w:r>
          </w:p>
        </w:tc>
        <w:tc>
          <w:tcPr>
            <w:tcW w:w="242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1447.33</w:t>
            </w:r>
          </w:p>
        </w:tc>
        <w:tc>
          <w:tcPr>
            <w:tcW w:w="300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2099.43</w:t>
            </w:r>
          </w:p>
        </w:tc>
      </w:tr>
      <w:tr w:rsidR="00774875" w:rsidRPr="00774875" w:rsidTr="00774875">
        <w:trPr>
          <w:trHeight w:val="255"/>
        </w:trPr>
        <w:tc>
          <w:tcPr>
            <w:tcW w:w="1620" w:type="dxa"/>
            <w:tcBorders>
              <w:top w:val="nil"/>
              <w:left w:val="nil"/>
              <w:bottom w:val="nil"/>
              <w:right w:val="nil"/>
            </w:tcBorders>
            <w:shd w:val="clear" w:color="auto" w:fill="auto"/>
            <w:noWrap/>
            <w:vAlign w:val="center"/>
            <w:hideMark/>
          </w:tcPr>
          <w:p w:rsidR="00774875" w:rsidRPr="00774875" w:rsidRDefault="00774875" w:rsidP="00774875">
            <w:pPr>
              <w:suppressAutoHyphens w:val="0"/>
              <w:spacing w:after="0"/>
              <w:jc w:val="right"/>
              <w:rPr>
                <w:rFonts w:ascii="Arial" w:hAnsi="Arial" w:cs="Arial"/>
                <w:color w:val="auto"/>
                <w:sz w:val="20"/>
                <w:szCs w:val="20"/>
              </w:rPr>
            </w:pPr>
            <w:r w:rsidRPr="00774875">
              <w:rPr>
                <w:rFonts w:ascii="Arial" w:hAnsi="Arial" w:cs="Arial"/>
                <w:color w:val="auto"/>
                <w:sz w:val="20"/>
                <w:szCs w:val="20"/>
              </w:rPr>
              <w:t>East</w:t>
            </w:r>
          </w:p>
        </w:tc>
        <w:tc>
          <w:tcPr>
            <w:tcW w:w="242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1329.98</w:t>
            </w:r>
          </w:p>
        </w:tc>
        <w:tc>
          <w:tcPr>
            <w:tcW w:w="300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1668.08</w:t>
            </w:r>
          </w:p>
        </w:tc>
      </w:tr>
      <w:tr w:rsidR="00774875" w:rsidRPr="00774875" w:rsidTr="00774875">
        <w:trPr>
          <w:trHeight w:val="255"/>
        </w:trPr>
        <w:tc>
          <w:tcPr>
            <w:tcW w:w="1620" w:type="dxa"/>
            <w:tcBorders>
              <w:top w:val="nil"/>
              <w:left w:val="nil"/>
              <w:bottom w:val="nil"/>
              <w:right w:val="nil"/>
            </w:tcBorders>
            <w:shd w:val="clear" w:color="auto" w:fill="auto"/>
            <w:noWrap/>
            <w:vAlign w:val="center"/>
            <w:hideMark/>
          </w:tcPr>
          <w:p w:rsidR="00774875" w:rsidRPr="00774875" w:rsidRDefault="009E5155" w:rsidP="00774875">
            <w:pPr>
              <w:suppressAutoHyphens w:val="0"/>
              <w:spacing w:after="0"/>
              <w:jc w:val="right"/>
              <w:rPr>
                <w:rFonts w:ascii="Arial" w:hAnsi="Arial" w:cs="Arial"/>
                <w:color w:val="auto"/>
                <w:sz w:val="20"/>
                <w:szCs w:val="20"/>
              </w:rPr>
            </w:pPr>
            <w:r>
              <w:rPr>
                <w:rFonts w:ascii="Arial" w:hAnsi="Arial" w:cs="Arial"/>
                <w:color w:val="auto"/>
                <w:sz w:val="20"/>
                <w:szCs w:val="20"/>
              </w:rPr>
              <w:t>North</w:t>
            </w:r>
          </w:p>
        </w:tc>
        <w:tc>
          <w:tcPr>
            <w:tcW w:w="242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1335.73</w:t>
            </w:r>
          </w:p>
        </w:tc>
        <w:tc>
          <w:tcPr>
            <w:tcW w:w="300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1652.78</w:t>
            </w:r>
          </w:p>
        </w:tc>
      </w:tr>
      <w:tr w:rsidR="00774875" w:rsidRPr="00774875" w:rsidTr="00774875">
        <w:trPr>
          <w:trHeight w:val="255"/>
        </w:trPr>
        <w:tc>
          <w:tcPr>
            <w:tcW w:w="1620" w:type="dxa"/>
            <w:tcBorders>
              <w:top w:val="nil"/>
              <w:left w:val="nil"/>
              <w:bottom w:val="nil"/>
              <w:right w:val="nil"/>
            </w:tcBorders>
            <w:shd w:val="clear" w:color="auto" w:fill="auto"/>
            <w:noWrap/>
            <w:vAlign w:val="center"/>
            <w:hideMark/>
          </w:tcPr>
          <w:p w:rsidR="00774875" w:rsidRPr="00774875" w:rsidRDefault="009E5155" w:rsidP="00774875">
            <w:pPr>
              <w:suppressAutoHyphens w:val="0"/>
              <w:spacing w:after="0"/>
              <w:jc w:val="right"/>
              <w:rPr>
                <w:rFonts w:ascii="Arial" w:hAnsi="Arial" w:cs="Arial"/>
                <w:color w:val="auto"/>
                <w:sz w:val="20"/>
                <w:szCs w:val="20"/>
              </w:rPr>
            </w:pPr>
            <w:r>
              <w:rPr>
                <w:rFonts w:ascii="Arial" w:hAnsi="Arial" w:cs="Arial"/>
                <w:color w:val="auto"/>
                <w:sz w:val="20"/>
                <w:szCs w:val="20"/>
              </w:rPr>
              <w:t>West</w:t>
            </w:r>
          </w:p>
        </w:tc>
        <w:tc>
          <w:tcPr>
            <w:tcW w:w="242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1330.49</w:t>
            </w:r>
          </w:p>
        </w:tc>
        <w:tc>
          <w:tcPr>
            <w:tcW w:w="300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1989.51</w:t>
            </w:r>
          </w:p>
        </w:tc>
      </w:tr>
      <w:tr w:rsidR="00774875" w:rsidRPr="00774875" w:rsidTr="00774875">
        <w:trPr>
          <w:trHeight w:val="255"/>
        </w:trPr>
        <w:tc>
          <w:tcPr>
            <w:tcW w:w="162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p>
        </w:tc>
        <w:tc>
          <w:tcPr>
            <w:tcW w:w="242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right"/>
              <w:rPr>
                <w:color w:val="auto"/>
                <w:sz w:val="20"/>
                <w:szCs w:val="20"/>
              </w:rPr>
            </w:pPr>
          </w:p>
        </w:tc>
        <w:tc>
          <w:tcPr>
            <w:tcW w:w="300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color w:val="auto"/>
                <w:sz w:val="20"/>
                <w:szCs w:val="20"/>
              </w:rPr>
            </w:pPr>
          </w:p>
        </w:tc>
      </w:tr>
      <w:tr w:rsidR="00774875" w:rsidRPr="00774875" w:rsidTr="00774875">
        <w:trPr>
          <w:trHeight w:val="255"/>
        </w:trPr>
        <w:tc>
          <w:tcPr>
            <w:tcW w:w="1620" w:type="dxa"/>
            <w:tcBorders>
              <w:top w:val="nil"/>
              <w:left w:val="nil"/>
              <w:bottom w:val="nil"/>
              <w:right w:val="nil"/>
            </w:tcBorders>
            <w:shd w:val="clear" w:color="auto" w:fill="auto"/>
            <w:noWrap/>
            <w:vAlign w:val="center"/>
            <w:hideMark/>
          </w:tcPr>
          <w:p w:rsidR="00774875" w:rsidRPr="00774875" w:rsidRDefault="00774875" w:rsidP="00774875">
            <w:pPr>
              <w:suppressAutoHyphens w:val="0"/>
              <w:spacing w:after="0"/>
              <w:jc w:val="right"/>
              <w:rPr>
                <w:rFonts w:ascii="Arial" w:hAnsi="Arial" w:cs="Arial"/>
                <w:color w:val="auto"/>
                <w:sz w:val="20"/>
                <w:szCs w:val="20"/>
              </w:rPr>
            </w:pPr>
            <w:r w:rsidRPr="00774875">
              <w:rPr>
                <w:rFonts w:ascii="Arial" w:hAnsi="Arial" w:cs="Arial"/>
                <w:color w:val="auto"/>
                <w:sz w:val="20"/>
                <w:szCs w:val="20"/>
              </w:rPr>
              <w:t>Kampala</w:t>
            </w:r>
          </w:p>
        </w:tc>
        <w:tc>
          <w:tcPr>
            <w:tcW w:w="242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1553.45</w:t>
            </w:r>
          </w:p>
        </w:tc>
        <w:tc>
          <w:tcPr>
            <w:tcW w:w="300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2336.05</w:t>
            </w:r>
          </w:p>
        </w:tc>
      </w:tr>
      <w:tr w:rsidR="00774875" w:rsidRPr="00774875" w:rsidTr="00774875">
        <w:trPr>
          <w:trHeight w:val="255"/>
        </w:trPr>
        <w:tc>
          <w:tcPr>
            <w:tcW w:w="1620" w:type="dxa"/>
            <w:tcBorders>
              <w:top w:val="nil"/>
              <w:left w:val="nil"/>
              <w:bottom w:val="nil"/>
              <w:right w:val="nil"/>
            </w:tcBorders>
            <w:shd w:val="clear" w:color="auto" w:fill="auto"/>
            <w:noWrap/>
            <w:vAlign w:val="center"/>
            <w:hideMark/>
          </w:tcPr>
          <w:p w:rsidR="00774875" w:rsidRPr="00774875" w:rsidRDefault="00774875" w:rsidP="00774875">
            <w:pPr>
              <w:suppressAutoHyphens w:val="0"/>
              <w:spacing w:after="0"/>
              <w:jc w:val="right"/>
              <w:rPr>
                <w:rFonts w:ascii="Arial" w:hAnsi="Arial" w:cs="Arial"/>
                <w:color w:val="auto"/>
                <w:sz w:val="20"/>
                <w:szCs w:val="20"/>
              </w:rPr>
            </w:pPr>
            <w:r w:rsidRPr="00774875">
              <w:rPr>
                <w:rFonts w:ascii="Arial" w:hAnsi="Arial" w:cs="Arial"/>
                <w:color w:val="auto"/>
                <w:sz w:val="20"/>
                <w:szCs w:val="20"/>
              </w:rPr>
              <w:t>Central 1</w:t>
            </w:r>
          </w:p>
        </w:tc>
        <w:tc>
          <w:tcPr>
            <w:tcW w:w="242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1443.36</w:t>
            </w:r>
          </w:p>
        </w:tc>
        <w:tc>
          <w:tcPr>
            <w:tcW w:w="300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2047.72</w:t>
            </w:r>
          </w:p>
        </w:tc>
      </w:tr>
      <w:tr w:rsidR="00774875" w:rsidRPr="00774875" w:rsidTr="00774875">
        <w:trPr>
          <w:trHeight w:val="255"/>
        </w:trPr>
        <w:tc>
          <w:tcPr>
            <w:tcW w:w="1620" w:type="dxa"/>
            <w:tcBorders>
              <w:top w:val="nil"/>
              <w:left w:val="nil"/>
              <w:bottom w:val="nil"/>
              <w:right w:val="nil"/>
            </w:tcBorders>
            <w:shd w:val="clear" w:color="auto" w:fill="auto"/>
            <w:noWrap/>
            <w:vAlign w:val="center"/>
            <w:hideMark/>
          </w:tcPr>
          <w:p w:rsidR="00774875" w:rsidRPr="00774875" w:rsidRDefault="00774875" w:rsidP="00774875">
            <w:pPr>
              <w:suppressAutoHyphens w:val="0"/>
              <w:spacing w:after="0"/>
              <w:jc w:val="right"/>
              <w:rPr>
                <w:rFonts w:ascii="Arial" w:hAnsi="Arial" w:cs="Arial"/>
                <w:color w:val="auto"/>
                <w:sz w:val="20"/>
                <w:szCs w:val="20"/>
              </w:rPr>
            </w:pPr>
            <w:r w:rsidRPr="00774875">
              <w:rPr>
                <w:rFonts w:ascii="Arial" w:hAnsi="Arial" w:cs="Arial"/>
                <w:color w:val="auto"/>
                <w:sz w:val="20"/>
                <w:szCs w:val="20"/>
              </w:rPr>
              <w:t>Central 2</w:t>
            </w:r>
          </w:p>
        </w:tc>
        <w:tc>
          <w:tcPr>
            <w:tcW w:w="242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1415.68</w:t>
            </w:r>
          </w:p>
        </w:tc>
        <w:tc>
          <w:tcPr>
            <w:tcW w:w="300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2076.53</w:t>
            </w:r>
          </w:p>
        </w:tc>
      </w:tr>
      <w:tr w:rsidR="00774875" w:rsidRPr="00774875" w:rsidTr="00774875">
        <w:trPr>
          <w:trHeight w:val="255"/>
        </w:trPr>
        <w:tc>
          <w:tcPr>
            <w:tcW w:w="1620" w:type="dxa"/>
            <w:tcBorders>
              <w:top w:val="nil"/>
              <w:left w:val="nil"/>
              <w:bottom w:val="nil"/>
              <w:right w:val="nil"/>
            </w:tcBorders>
            <w:shd w:val="clear" w:color="auto" w:fill="auto"/>
            <w:noWrap/>
            <w:vAlign w:val="center"/>
            <w:hideMark/>
          </w:tcPr>
          <w:p w:rsidR="00774875" w:rsidRPr="00774875" w:rsidRDefault="00774875" w:rsidP="00774875">
            <w:pPr>
              <w:suppressAutoHyphens w:val="0"/>
              <w:spacing w:after="0"/>
              <w:jc w:val="right"/>
              <w:rPr>
                <w:rFonts w:ascii="Arial" w:hAnsi="Arial" w:cs="Arial"/>
                <w:color w:val="auto"/>
                <w:sz w:val="20"/>
                <w:szCs w:val="20"/>
              </w:rPr>
            </w:pPr>
            <w:r w:rsidRPr="00774875">
              <w:rPr>
                <w:rFonts w:ascii="Arial" w:hAnsi="Arial" w:cs="Arial"/>
                <w:color w:val="auto"/>
                <w:sz w:val="20"/>
                <w:szCs w:val="20"/>
              </w:rPr>
              <w:t>East Central</w:t>
            </w:r>
          </w:p>
        </w:tc>
        <w:tc>
          <w:tcPr>
            <w:tcW w:w="242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1332.40</w:t>
            </w:r>
          </w:p>
        </w:tc>
        <w:tc>
          <w:tcPr>
            <w:tcW w:w="300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1674.42</w:t>
            </w:r>
          </w:p>
        </w:tc>
      </w:tr>
      <w:tr w:rsidR="00774875" w:rsidRPr="00774875" w:rsidTr="00774875">
        <w:trPr>
          <w:trHeight w:val="255"/>
        </w:trPr>
        <w:tc>
          <w:tcPr>
            <w:tcW w:w="1620" w:type="dxa"/>
            <w:tcBorders>
              <w:top w:val="nil"/>
              <w:left w:val="nil"/>
              <w:bottom w:val="nil"/>
              <w:right w:val="nil"/>
            </w:tcBorders>
            <w:shd w:val="clear" w:color="auto" w:fill="auto"/>
            <w:noWrap/>
            <w:vAlign w:val="center"/>
            <w:hideMark/>
          </w:tcPr>
          <w:p w:rsidR="00774875" w:rsidRPr="00774875" w:rsidRDefault="00774875" w:rsidP="00774875">
            <w:pPr>
              <w:suppressAutoHyphens w:val="0"/>
              <w:spacing w:after="0"/>
              <w:jc w:val="right"/>
              <w:rPr>
                <w:rFonts w:ascii="Arial" w:hAnsi="Arial" w:cs="Arial"/>
                <w:color w:val="auto"/>
                <w:sz w:val="20"/>
                <w:szCs w:val="20"/>
              </w:rPr>
            </w:pPr>
            <w:r w:rsidRPr="00774875">
              <w:rPr>
                <w:rFonts w:ascii="Arial" w:hAnsi="Arial" w:cs="Arial"/>
                <w:color w:val="auto"/>
                <w:sz w:val="20"/>
                <w:szCs w:val="20"/>
              </w:rPr>
              <w:t>Eastern</w:t>
            </w:r>
          </w:p>
        </w:tc>
        <w:tc>
          <w:tcPr>
            <w:tcW w:w="242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1328.32</w:t>
            </w:r>
          </w:p>
        </w:tc>
        <w:tc>
          <w:tcPr>
            <w:tcW w:w="300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1663.75</w:t>
            </w:r>
          </w:p>
        </w:tc>
      </w:tr>
      <w:tr w:rsidR="00774875" w:rsidRPr="00774875" w:rsidTr="00774875">
        <w:trPr>
          <w:trHeight w:val="255"/>
        </w:trPr>
        <w:tc>
          <w:tcPr>
            <w:tcW w:w="1620" w:type="dxa"/>
            <w:tcBorders>
              <w:top w:val="nil"/>
              <w:left w:val="nil"/>
              <w:bottom w:val="nil"/>
              <w:right w:val="nil"/>
            </w:tcBorders>
            <w:shd w:val="clear" w:color="auto" w:fill="auto"/>
            <w:noWrap/>
            <w:vAlign w:val="center"/>
            <w:hideMark/>
          </w:tcPr>
          <w:p w:rsidR="00774875" w:rsidRPr="00774875" w:rsidRDefault="00774875" w:rsidP="00774875">
            <w:pPr>
              <w:suppressAutoHyphens w:val="0"/>
              <w:spacing w:after="0"/>
              <w:jc w:val="right"/>
              <w:rPr>
                <w:rFonts w:ascii="Arial" w:hAnsi="Arial" w:cs="Arial"/>
                <w:color w:val="auto"/>
                <w:sz w:val="20"/>
                <w:szCs w:val="20"/>
              </w:rPr>
            </w:pPr>
            <w:r w:rsidRPr="00774875">
              <w:rPr>
                <w:rFonts w:ascii="Arial" w:hAnsi="Arial" w:cs="Arial"/>
                <w:color w:val="auto"/>
                <w:sz w:val="20"/>
                <w:szCs w:val="20"/>
              </w:rPr>
              <w:t>Mid-Northern</w:t>
            </w:r>
          </w:p>
        </w:tc>
        <w:tc>
          <w:tcPr>
            <w:tcW w:w="242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1339.08</w:t>
            </w:r>
          </w:p>
        </w:tc>
        <w:tc>
          <w:tcPr>
            <w:tcW w:w="300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1664.25</w:t>
            </w:r>
          </w:p>
        </w:tc>
      </w:tr>
      <w:tr w:rsidR="00774875" w:rsidRPr="00774875" w:rsidTr="00774875">
        <w:trPr>
          <w:trHeight w:val="255"/>
        </w:trPr>
        <w:tc>
          <w:tcPr>
            <w:tcW w:w="1620" w:type="dxa"/>
            <w:tcBorders>
              <w:top w:val="nil"/>
              <w:left w:val="nil"/>
              <w:bottom w:val="nil"/>
              <w:right w:val="nil"/>
            </w:tcBorders>
            <w:shd w:val="clear" w:color="auto" w:fill="auto"/>
            <w:noWrap/>
            <w:vAlign w:val="center"/>
            <w:hideMark/>
          </w:tcPr>
          <w:p w:rsidR="00774875" w:rsidRPr="00774875" w:rsidRDefault="00774875" w:rsidP="00774875">
            <w:pPr>
              <w:suppressAutoHyphens w:val="0"/>
              <w:spacing w:after="0"/>
              <w:jc w:val="right"/>
              <w:rPr>
                <w:rFonts w:ascii="Arial" w:hAnsi="Arial" w:cs="Arial"/>
                <w:color w:val="auto"/>
                <w:sz w:val="20"/>
                <w:szCs w:val="20"/>
              </w:rPr>
            </w:pPr>
            <w:r w:rsidRPr="00774875">
              <w:rPr>
                <w:rFonts w:ascii="Arial" w:hAnsi="Arial" w:cs="Arial"/>
                <w:color w:val="auto"/>
                <w:sz w:val="20"/>
                <w:szCs w:val="20"/>
              </w:rPr>
              <w:t>North-east</w:t>
            </w:r>
          </w:p>
        </w:tc>
        <w:tc>
          <w:tcPr>
            <w:tcW w:w="242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1331.23</w:t>
            </w:r>
          </w:p>
        </w:tc>
        <w:tc>
          <w:tcPr>
            <w:tcW w:w="300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1637.39</w:t>
            </w:r>
          </w:p>
        </w:tc>
      </w:tr>
      <w:tr w:rsidR="00774875" w:rsidRPr="00774875" w:rsidTr="00774875">
        <w:trPr>
          <w:trHeight w:val="255"/>
        </w:trPr>
        <w:tc>
          <w:tcPr>
            <w:tcW w:w="1620" w:type="dxa"/>
            <w:tcBorders>
              <w:top w:val="nil"/>
              <w:left w:val="nil"/>
              <w:bottom w:val="nil"/>
              <w:right w:val="nil"/>
            </w:tcBorders>
            <w:shd w:val="clear" w:color="auto" w:fill="auto"/>
            <w:noWrap/>
            <w:vAlign w:val="center"/>
            <w:hideMark/>
          </w:tcPr>
          <w:p w:rsidR="00774875" w:rsidRPr="00774875" w:rsidRDefault="00774875" w:rsidP="00774875">
            <w:pPr>
              <w:suppressAutoHyphens w:val="0"/>
              <w:spacing w:after="0"/>
              <w:jc w:val="right"/>
              <w:rPr>
                <w:rFonts w:ascii="Arial" w:hAnsi="Arial" w:cs="Arial"/>
                <w:color w:val="auto"/>
                <w:sz w:val="20"/>
                <w:szCs w:val="20"/>
              </w:rPr>
            </w:pPr>
            <w:r w:rsidRPr="00774875">
              <w:rPr>
                <w:rFonts w:ascii="Arial" w:hAnsi="Arial" w:cs="Arial"/>
                <w:color w:val="auto"/>
                <w:sz w:val="20"/>
                <w:szCs w:val="20"/>
              </w:rPr>
              <w:t>West Nile</w:t>
            </w:r>
          </w:p>
        </w:tc>
        <w:tc>
          <w:tcPr>
            <w:tcW w:w="242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1331.91</w:t>
            </w:r>
          </w:p>
        </w:tc>
        <w:tc>
          <w:tcPr>
            <w:tcW w:w="3000" w:type="dxa"/>
            <w:tcBorders>
              <w:top w:val="nil"/>
              <w:left w:val="nil"/>
              <w:bottom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1639.70</w:t>
            </w:r>
          </w:p>
        </w:tc>
      </w:tr>
      <w:tr w:rsidR="00774875" w:rsidRPr="00774875" w:rsidTr="00774875">
        <w:trPr>
          <w:trHeight w:val="255"/>
        </w:trPr>
        <w:tc>
          <w:tcPr>
            <w:tcW w:w="1620" w:type="dxa"/>
            <w:tcBorders>
              <w:top w:val="nil"/>
              <w:left w:val="nil"/>
              <w:right w:val="nil"/>
            </w:tcBorders>
            <w:shd w:val="clear" w:color="auto" w:fill="auto"/>
            <w:noWrap/>
            <w:vAlign w:val="center"/>
            <w:hideMark/>
          </w:tcPr>
          <w:p w:rsidR="00774875" w:rsidRPr="00774875" w:rsidRDefault="00774875" w:rsidP="00774875">
            <w:pPr>
              <w:suppressAutoHyphens w:val="0"/>
              <w:spacing w:after="0"/>
              <w:jc w:val="right"/>
              <w:rPr>
                <w:rFonts w:ascii="Arial" w:hAnsi="Arial" w:cs="Arial"/>
                <w:color w:val="auto"/>
                <w:sz w:val="20"/>
                <w:szCs w:val="20"/>
              </w:rPr>
            </w:pPr>
            <w:r w:rsidRPr="00774875">
              <w:rPr>
                <w:rFonts w:ascii="Arial" w:hAnsi="Arial" w:cs="Arial"/>
                <w:color w:val="auto"/>
                <w:sz w:val="20"/>
                <w:szCs w:val="20"/>
              </w:rPr>
              <w:t>Mid-western</w:t>
            </w:r>
          </w:p>
        </w:tc>
        <w:tc>
          <w:tcPr>
            <w:tcW w:w="2420" w:type="dxa"/>
            <w:tcBorders>
              <w:top w:val="nil"/>
              <w:left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1334.74</w:t>
            </w:r>
          </w:p>
        </w:tc>
        <w:tc>
          <w:tcPr>
            <w:tcW w:w="3000" w:type="dxa"/>
            <w:tcBorders>
              <w:top w:val="nil"/>
              <w:left w:val="nil"/>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1987.03</w:t>
            </w:r>
          </w:p>
        </w:tc>
      </w:tr>
      <w:tr w:rsidR="00774875" w:rsidRPr="00774875" w:rsidTr="00774875">
        <w:trPr>
          <w:trHeight w:val="255"/>
        </w:trPr>
        <w:tc>
          <w:tcPr>
            <w:tcW w:w="1620" w:type="dxa"/>
            <w:tcBorders>
              <w:top w:val="nil"/>
              <w:left w:val="nil"/>
              <w:bottom w:val="thickThinSmallGap" w:sz="24" w:space="0" w:color="auto"/>
              <w:right w:val="nil"/>
            </w:tcBorders>
            <w:shd w:val="clear" w:color="auto" w:fill="auto"/>
            <w:noWrap/>
            <w:vAlign w:val="center"/>
            <w:hideMark/>
          </w:tcPr>
          <w:p w:rsidR="00774875" w:rsidRPr="00774875" w:rsidRDefault="00774875" w:rsidP="00774875">
            <w:pPr>
              <w:suppressAutoHyphens w:val="0"/>
              <w:spacing w:after="0"/>
              <w:jc w:val="right"/>
              <w:rPr>
                <w:rFonts w:ascii="Arial" w:hAnsi="Arial" w:cs="Arial"/>
                <w:color w:val="auto"/>
                <w:sz w:val="20"/>
                <w:szCs w:val="20"/>
              </w:rPr>
            </w:pPr>
            <w:r w:rsidRPr="00774875">
              <w:rPr>
                <w:rFonts w:ascii="Arial" w:hAnsi="Arial" w:cs="Arial"/>
                <w:color w:val="auto"/>
                <w:sz w:val="20"/>
                <w:szCs w:val="20"/>
              </w:rPr>
              <w:t>South-western</w:t>
            </w:r>
          </w:p>
        </w:tc>
        <w:tc>
          <w:tcPr>
            <w:tcW w:w="2420" w:type="dxa"/>
            <w:tcBorders>
              <w:top w:val="nil"/>
              <w:left w:val="nil"/>
              <w:bottom w:val="thickThinSmallGap" w:sz="24" w:space="0" w:color="auto"/>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1326.25</w:t>
            </w:r>
          </w:p>
        </w:tc>
        <w:tc>
          <w:tcPr>
            <w:tcW w:w="3000" w:type="dxa"/>
            <w:tcBorders>
              <w:top w:val="nil"/>
              <w:left w:val="nil"/>
              <w:bottom w:val="thickThinSmallGap" w:sz="24" w:space="0" w:color="auto"/>
              <w:right w:val="nil"/>
            </w:tcBorders>
            <w:shd w:val="clear" w:color="auto" w:fill="auto"/>
            <w:noWrap/>
            <w:vAlign w:val="bottom"/>
            <w:hideMark/>
          </w:tcPr>
          <w:p w:rsidR="00774875" w:rsidRPr="00774875" w:rsidRDefault="00774875" w:rsidP="00774875">
            <w:pPr>
              <w:suppressAutoHyphens w:val="0"/>
              <w:spacing w:after="0"/>
              <w:jc w:val="center"/>
              <w:rPr>
                <w:rFonts w:ascii="Arial" w:hAnsi="Arial" w:cs="Arial"/>
                <w:color w:val="auto"/>
                <w:sz w:val="20"/>
                <w:szCs w:val="20"/>
              </w:rPr>
            </w:pPr>
            <w:r w:rsidRPr="00774875">
              <w:rPr>
                <w:rFonts w:ascii="Arial" w:hAnsi="Arial" w:cs="Arial"/>
                <w:color w:val="auto"/>
                <w:sz w:val="20"/>
                <w:szCs w:val="20"/>
              </w:rPr>
              <w:t>1991.98</w:t>
            </w:r>
          </w:p>
        </w:tc>
      </w:tr>
    </w:tbl>
    <w:p w:rsidR="00881BA4" w:rsidRDefault="00881BA4" w:rsidP="00881BA4">
      <w:r>
        <w:t>Source: authors calculations based on the UNHS 2012/13.</w:t>
      </w:r>
    </w:p>
    <w:p w:rsidR="00932668" w:rsidRPr="00DB0DB7" w:rsidRDefault="00DB0DB7">
      <w:pPr>
        <w:pStyle w:val="TextBody"/>
        <w:rPr>
          <w:b/>
          <w:i/>
        </w:rPr>
      </w:pPr>
      <w:r w:rsidRPr="00DB0DB7">
        <w:rPr>
          <w:b/>
          <w:i/>
        </w:rPr>
        <w:t>Aggregation</w:t>
      </w:r>
    </w:p>
    <w:p w:rsidR="00DB0DB7" w:rsidRDefault="00DB0DB7">
      <w:pPr>
        <w:pStyle w:val="TextBody"/>
      </w:pPr>
      <w:r>
        <w:t>The final step in poverty measurement is aggregation. In this step, information from the relative position of the welfare indicator of the units is compared to the poverty and summarized at different levels of aggregation. The simplest and most common way of aggregation is to simply calculate the proportion of units that fall below the poverty line. This measure is often referred to as headcount poverty</w:t>
      </w:r>
      <w:r w:rsidR="00504F6A">
        <w:t xml:space="preserve"> (P0)</w:t>
      </w:r>
      <w:r>
        <w:t xml:space="preserve">. </w:t>
      </w:r>
      <w:r w:rsidR="00504F6A">
        <w:t xml:space="preserve">One can also calculate the average shortfall of welfare to the poverty line as a share of the poverty line. This is often referred to as the poverty gap (P1). Alternatively, one can square the gap to give a higher weight to households of individuals that fall further below the poverty line to make the measure sensitive to inequality. This is often referred to as the </w:t>
      </w:r>
      <w:r w:rsidR="004B2D6A">
        <w:t xml:space="preserve">squared poverty gap index (P2). All three measures belong to the family of poverty measures introduced by Foster, Greer and </w:t>
      </w:r>
      <w:proofErr w:type="spellStart"/>
      <w:r w:rsidR="004B2D6A">
        <w:t>Thorbecke</w:t>
      </w:r>
      <w:proofErr w:type="spellEnd"/>
      <w:r w:rsidR="004B2D6A">
        <w:t xml:space="preserve"> (1984)</w:t>
      </w:r>
      <w:r w:rsidR="00001B75">
        <w:t>.</w:t>
      </w:r>
      <w:r w:rsidR="00504F6A">
        <w:t xml:space="preserve"> </w:t>
      </w:r>
      <w:r>
        <w:t>Th</w:t>
      </w:r>
      <w:r w:rsidR="00001B75">
        <w:t>e measures</w:t>
      </w:r>
      <w:r>
        <w:t xml:space="preserve"> can be calculated at the national level, but also separately for different regions </w:t>
      </w:r>
      <w:r w:rsidR="00B0259C">
        <w:t>or different mutually exclusive groups within the sample. As such, one can a poverty profile, which identifies where the poor tend to live, what education levels they have, what their households look like in terms of number of children, elderly, etc.</w:t>
      </w:r>
    </w:p>
    <w:p w:rsidR="00FA1D2B" w:rsidRDefault="006F505B">
      <w:pPr>
        <w:pStyle w:val="TextBody"/>
      </w:pPr>
      <w:r>
        <w:lastRenderedPageBreak/>
        <w:t xml:space="preserve">Table 5 </w:t>
      </w:r>
      <w:r w:rsidR="00001B75">
        <w:t>presents headcount poverty, poverty gap index and the squared poverty gap using utility consistent poverty lines next to the official figures. As can be seen, in general,</w:t>
      </w:r>
      <w:r w:rsidR="00306BE1">
        <w:t xml:space="preserve"> estimated</w:t>
      </w:r>
      <w:r w:rsidR="00001B75">
        <w:t xml:space="preserve"> poverty</w:t>
      </w:r>
      <w:r w:rsidR="00306BE1">
        <w:t xml:space="preserve"> using utility consistent poverty lines</w:t>
      </w:r>
      <w:r w:rsidR="00001B75">
        <w:t xml:space="preserve"> is much higher than official reported poverty</w:t>
      </w:r>
      <w:r w:rsidR="00306BE1">
        <w:rPr>
          <w:rStyle w:val="FootnoteReference"/>
        </w:rPr>
        <w:footnoteReference w:id="8"/>
      </w:r>
      <w:r w:rsidR="00306BE1">
        <w:t xml:space="preserve">. </w:t>
      </w:r>
      <w:r w:rsidR="001C63D1">
        <w:t xml:space="preserve"> </w:t>
      </w:r>
      <w:r w:rsidR="00757187">
        <w:t xml:space="preserve">If we disaggregate by region, we find that the higher utility consistent poverty lines did not increase the poverty headcount that much in the Northern Region. A virtually equal increase in the poverty line in the Eastern region has a much larger effect on poverty. This seems to suggest that the bulk of the people in the Northern region are concentrated at the lower end of the welfare distribution, which is confirmed by the relatively high P2. Central and </w:t>
      </w:r>
      <w:proofErr w:type="gramStart"/>
      <w:r w:rsidR="00757187">
        <w:t>West</w:t>
      </w:r>
      <w:proofErr w:type="gramEnd"/>
      <w:r w:rsidR="00757187">
        <w:t xml:space="preserve"> both have significant higher poverty measures when using utility consistent poverty lines. This was to be expected given the higher poverty lines caused by the less cost effective diets people have in these regions.</w:t>
      </w:r>
    </w:p>
    <w:p w:rsidR="00845EC4" w:rsidRDefault="00845EC4">
      <w:pPr>
        <w:suppressAutoHyphens w:val="0"/>
        <w:spacing w:after="0"/>
        <w:jc w:val="left"/>
        <w:rPr>
          <w:rFonts w:ascii="Courier New" w:hAnsi="Courier New" w:cs="Courier New"/>
          <w:color w:val="FF0000"/>
          <w:sz w:val="22"/>
          <w:szCs w:val="22"/>
        </w:rPr>
      </w:pPr>
    </w:p>
    <w:p w:rsidR="00845EC4" w:rsidRDefault="00845EC4">
      <w:pPr>
        <w:suppressAutoHyphens w:val="0"/>
        <w:spacing w:after="0"/>
        <w:jc w:val="left"/>
        <w:rPr>
          <w:rFonts w:ascii="Courier New" w:hAnsi="Courier New" w:cs="Courier New"/>
          <w:color w:val="FF0000"/>
          <w:sz w:val="22"/>
          <w:szCs w:val="22"/>
        </w:rPr>
      </w:pPr>
    </w:p>
    <w:p w:rsidR="00845EC4" w:rsidRDefault="00845EC4">
      <w:pPr>
        <w:suppressAutoHyphens w:val="0"/>
        <w:spacing w:after="0"/>
        <w:jc w:val="left"/>
        <w:rPr>
          <w:rFonts w:ascii="Courier New" w:hAnsi="Courier New" w:cs="Courier New"/>
          <w:color w:val="FF0000"/>
          <w:sz w:val="22"/>
          <w:szCs w:val="22"/>
        </w:rPr>
      </w:pPr>
    </w:p>
    <w:p w:rsidR="00845EC4" w:rsidRPr="00881BA4" w:rsidRDefault="00881BA4" w:rsidP="00881BA4">
      <w:r w:rsidRPr="00881BA4">
        <w:t xml:space="preserve">Table </w:t>
      </w:r>
      <w:r>
        <w:t>5: Poverty headcount estimates</w:t>
      </w:r>
    </w:p>
    <w:tbl>
      <w:tblPr>
        <w:tblW w:w="8098" w:type="dxa"/>
        <w:tblInd w:w="108" w:type="dxa"/>
        <w:tblLook w:val="04A0" w:firstRow="1" w:lastRow="0" w:firstColumn="1" w:lastColumn="0" w:noHBand="0" w:noVBand="1"/>
      </w:tblPr>
      <w:tblGrid>
        <w:gridCol w:w="1780"/>
        <w:gridCol w:w="1550"/>
        <w:gridCol w:w="900"/>
        <w:gridCol w:w="900"/>
        <w:gridCol w:w="1280"/>
        <w:gridCol w:w="844"/>
        <w:gridCol w:w="844"/>
      </w:tblGrid>
      <w:tr w:rsidR="00DF559E" w:rsidRPr="007C7153" w:rsidTr="00001B75">
        <w:trPr>
          <w:trHeight w:val="255"/>
        </w:trPr>
        <w:tc>
          <w:tcPr>
            <w:tcW w:w="1780" w:type="dxa"/>
            <w:tcBorders>
              <w:top w:val="thinThickSmallGap" w:sz="24" w:space="0" w:color="auto"/>
              <w:left w:val="nil"/>
              <w:bottom w:val="single" w:sz="4" w:space="0" w:color="auto"/>
              <w:right w:val="nil"/>
            </w:tcBorders>
            <w:shd w:val="clear" w:color="auto" w:fill="auto"/>
            <w:noWrap/>
            <w:vAlign w:val="bottom"/>
          </w:tcPr>
          <w:p w:rsidR="00DF559E" w:rsidRPr="007C7153" w:rsidRDefault="00DF559E" w:rsidP="007C7153">
            <w:pPr>
              <w:suppressAutoHyphens w:val="0"/>
              <w:spacing w:after="0"/>
              <w:jc w:val="left"/>
              <w:rPr>
                <w:color w:val="auto"/>
                <w:sz w:val="20"/>
                <w:szCs w:val="20"/>
              </w:rPr>
            </w:pPr>
          </w:p>
        </w:tc>
        <w:tc>
          <w:tcPr>
            <w:tcW w:w="3350" w:type="dxa"/>
            <w:gridSpan w:val="3"/>
            <w:tcBorders>
              <w:top w:val="thinThickSmallGap" w:sz="24" w:space="0" w:color="auto"/>
              <w:left w:val="nil"/>
              <w:bottom w:val="single" w:sz="4" w:space="0" w:color="auto"/>
              <w:right w:val="nil"/>
            </w:tcBorders>
            <w:shd w:val="clear" w:color="auto" w:fill="auto"/>
            <w:noWrap/>
            <w:vAlign w:val="bottom"/>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Utility Consistent Poverty Lines</w:t>
            </w:r>
          </w:p>
        </w:tc>
        <w:tc>
          <w:tcPr>
            <w:tcW w:w="2968" w:type="dxa"/>
            <w:gridSpan w:val="3"/>
            <w:tcBorders>
              <w:top w:val="thinThickSmallGap" w:sz="24" w:space="0" w:color="auto"/>
              <w:left w:val="nil"/>
              <w:bottom w:val="single" w:sz="4" w:space="0" w:color="auto"/>
              <w:right w:val="nil"/>
            </w:tcBorders>
            <w:shd w:val="clear" w:color="auto" w:fill="auto"/>
            <w:noWrap/>
            <w:vAlign w:val="bottom"/>
          </w:tcPr>
          <w:p w:rsidR="00DF559E" w:rsidRDefault="00DF559E" w:rsidP="007C7153">
            <w:pPr>
              <w:suppressAutoHyphens w:val="0"/>
              <w:spacing w:after="0"/>
              <w:jc w:val="center"/>
              <w:rPr>
                <w:rFonts w:ascii="Arial" w:hAnsi="Arial" w:cs="Arial"/>
                <w:color w:val="auto"/>
                <w:sz w:val="20"/>
                <w:szCs w:val="20"/>
              </w:rPr>
            </w:pPr>
            <w:r>
              <w:rPr>
                <w:rFonts w:ascii="Arial" w:hAnsi="Arial" w:cs="Arial"/>
                <w:color w:val="auto"/>
                <w:sz w:val="20"/>
                <w:szCs w:val="20"/>
              </w:rPr>
              <w:t>Official Poverty Lines</w:t>
            </w:r>
          </w:p>
        </w:tc>
      </w:tr>
      <w:tr w:rsidR="00200AF2" w:rsidRPr="007C7153" w:rsidTr="00DF559E">
        <w:trPr>
          <w:trHeight w:val="255"/>
        </w:trPr>
        <w:tc>
          <w:tcPr>
            <w:tcW w:w="1780" w:type="dxa"/>
            <w:tcBorders>
              <w:top w:val="single" w:sz="4" w:space="0" w:color="auto"/>
              <w:left w:val="nil"/>
              <w:bottom w:val="single" w:sz="4" w:space="0" w:color="auto"/>
              <w:right w:val="nil"/>
            </w:tcBorders>
            <w:shd w:val="clear" w:color="auto" w:fill="auto"/>
            <w:noWrap/>
            <w:vAlign w:val="bottom"/>
            <w:hideMark/>
          </w:tcPr>
          <w:p w:rsidR="00200AF2" w:rsidRPr="007C7153" w:rsidRDefault="00200AF2" w:rsidP="007C7153">
            <w:pPr>
              <w:suppressAutoHyphens w:val="0"/>
              <w:spacing w:after="0"/>
              <w:jc w:val="left"/>
              <w:rPr>
                <w:color w:val="auto"/>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rsidR="00200AF2" w:rsidRPr="007C7153" w:rsidRDefault="00DF559E" w:rsidP="00504F6A">
            <w:pPr>
              <w:suppressAutoHyphens w:val="0"/>
              <w:spacing w:after="0"/>
              <w:jc w:val="center"/>
              <w:rPr>
                <w:rFonts w:ascii="Arial" w:hAnsi="Arial" w:cs="Arial"/>
                <w:color w:val="auto"/>
                <w:sz w:val="20"/>
                <w:szCs w:val="20"/>
              </w:rPr>
            </w:pPr>
            <w:r>
              <w:rPr>
                <w:rFonts w:ascii="Arial" w:hAnsi="Arial" w:cs="Arial"/>
                <w:color w:val="auto"/>
                <w:sz w:val="20"/>
                <w:szCs w:val="20"/>
              </w:rPr>
              <w:t>P</w:t>
            </w:r>
            <w:r w:rsidR="00504F6A">
              <w:rPr>
                <w:rFonts w:ascii="Arial" w:hAnsi="Arial" w:cs="Arial"/>
                <w:color w:val="auto"/>
                <w:sz w:val="20"/>
                <w:szCs w:val="20"/>
              </w:rPr>
              <w:t>0</w:t>
            </w:r>
          </w:p>
        </w:tc>
        <w:tc>
          <w:tcPr>
            <w:tcW w:w="900" w:type="dxa"/>
            <w:tcBorders>
              <w:top w:val="single" w:sz="4" w:space="0" w:color="auto"/>
              <w:left w:val="nil"/>
              <w:bottom w:val="single" w:sz="4" w:space="0" w:color="auto"/>
              <w:right w:val="nil"/>
            </w:tcBorders>
            <w:shd w:val="clear" w:color="auto" w:fill="auto"/>
            <w:noWrap/>
            <w:vAlign w:val="bottom"/>
          </w:tcPr>
          <w:p w:rsidR="00200AF2" w:rsidRPr="007C7153" w:rsidRDefault="00DF559E" w:rsidP="00504F6A">
            <w:pPr>
              <w:suppressAutoHyphens w:val="0"/>
              <w:spacing w:after="0"/>
              <w:jc w:val="center"/>
              <w:rPr>
                <w:rFonts w:ascii="Arial" w:hAnsi="Arial" w:cs="Arial"/>
                <w:color w:val="auto"/>
                <w:sz w:val="20"/>
                <w:szCs w:val="20"/>
              </w:rPr>
            </w:pPr>
            <w:r>
              <w:rPr>
                <w:rFonts w:ascii="Arial" w:hAnsi="Arial" w:cs="Arial"/>
                <w:color w:val="auto"/>
                <w:sz w:val="20"/>
                <w:szCs w:val="20"/>
              </w:rPr>
              <w:t>P</w:t>
            </w:r>
            <w:r w:rsidR="00504F6A">
              <w:rPr>
                <w:rFonts w:ascii="Arial" w:hAnsi="Arial" w:cs="Arial"/>
                <w:color w:val="auto"/>
                <w:sz w:val="20"/>
                <w:szCs w:val="20"/>
              </w:rPr>
              <w:t>1</w:t>
            </w:r>
          </w:p>
        </w:tc>
        <w:tc>
          <w:tcPr>
            <w:tcW w:w="900" w:type="dxa"/>
            <w:tcBorders>
              <w:top w:val="single" w:sz="4" w:space="0" w:color="auto"/>
              <w:left w:val="nil"/>
              <w:bottom w:val="single" w:sz="4" w:space="0" w:color="auto"/>
              <w:right w:val="nil"/>
            </w:tcBorders>
            <w:shd w:val="clear" w:color="auto" w:fill="auto"/>
            <w:noWrap/>
            <w:vAlign w:val="bottom"/>
          </w:tcPr>
          <w:p w:rsidR="00200AF2" w:rsidRPr="007C7153" w:rsidRDefault="00DF559E" w:rsidP="00504F6A">
            <w:pPr>
              <w:suppressAutoHyphens w:val="0"/>
              <w:spacing w:after="0"/>
              <w:jc w:val="center"/>
              <w:rPr>
                <w:rFonts w:ascii="Arial" w:hAnsi="Arial" w:cs="Arial"/>
                <w:color w:val="auto"/>
                <w:sz w:val="20"/>
                <w:szCs w:val="20"/>
              </w:rPr>
            </w:pPr>
            <w:r>
              <w:rPr>
                <w:rFonts w:ascii="Arial" w:hAnsi="Arial" w:cs="Arial"/>
                <w:color w:val="auto"/>
                <w:sz w:val="20"/>
                <w:szCs w:val="20"/>
              </w:rPr>
              <w:t>P</w:t>
            </w:r>
            <w:r w:rsidR="00504F6A">
              <w:rPr>
                <w:rFonts w:ascii="Arial" w:hAnsi="Arial" w:cs="Arial"/>
                <w:color w:val="auto"/>
                <w:sz w:val="20"/>
                <w:szCs w:val="20"/>
              </w:rPr>
              <w:t>2</w:t>
            </w:r>
          </w:p>
        </w:tc>
        <w:tc>
          <w:tcPr>
            <w:tcW w:w="1280" w:type="dxa"/>
            <w:tcBorders>
              <w:top w:val="single" w:sz="4" w:space="0" w:color="auto"/>
              <w:left w:val="nil"/>
              <w:bottom w:val="single" w:sz="4" w:space="0" w:color="auto"/>
              <w:right w:val="nil"/>
            </w:tcBorders>
            <w:shd w:val="clear" w:color="auto" w:fill="auto"/>
            <w:noWrap/>
            <w:vAlign w:val="bottom"/>
            <w:hideMark/>
          </w:tcPr>
          <w:p w:rsidR="00200AF2" w:rsidRPr="007C7153" w:rsidRDefault="00200AF2" w:rsidP="00504F6A">
            <w:pPr>
              <w:suppressAutoHyphens w:val="0"/>
              <w:spacing w:after="0"/>
              <w:jc w:val="center"/>
              <w:rPr>
                <w:rFonts w:ascii="Arial" w:hAnsi="Arial" w:cs="Arial"/>
                <w:color w:val="auto"/>
                <w:sz w:val="20"/>
                <w:szCs w:val="20"/>
              </w:rPr>
            </w:pPr>
            <w:r>
              <w:rPr>
                <w:rFonts w:ascii="Arial" w:hAnsi="Arial" w:cs="Arial"/>
                <w:color w:val="auto"/>
                <w:sz w:val="20"/>
                <w:szCs w:val="20"/>
              </w:rPr>
              <w:t>P</w:t>
            </w:r>
            <w:r w:rsidR="00504F6A">
              <w:rPr>
                <w:rFonts w:ascii="Arial" w:hAnsi="Arial" w:cs="Arial"/>
                <w:color w:val="auto"/>
                <w:sz w:val="20"/>
                <w:szCs w:val="20"/>
              </w:rPr>
              <w:t>0</w:t>
            </w:r>
          </w:p>
        </w:tc>
        <w:tc>
          <w:tcPr>
            <w:tcW w:w="844" w:type="dxa"/>
            <w:tcBorders>
              <w:top w:val="single" w:sz="4" w:space="0" w:color="auto"/>
              <w:left w:val="nil"/>
              <w:bottom w:val="single" w:sz="4" w:space="0" w:color="auto"/>
              <w:right w:val="nil"/>
            </w:tcBorders>
          </w:tcPr>
          <w:p w:rsidR="00200AF2" w:rsidRPr="007C7153" w:rsidRDefault="00200AF2" w:rsidP="007C7153">
            <w:pPr>
              <w:suppressAutoHyphens w:val="0"/>
              <w:spacing w:after="0"/>
              <w:jc w:val="center"/>
              <w:rPr>
                <w:rFonts w:ascii="Arial" w:hAnsi="Arial" w:cs="Arial"/>
                <w:color w:val="auto"/>
                <w:sz w:val="20"/>
                <w:szCs w:val="20"/>
              </w:rPr>
            </w:pPr>
            <w:r>
              <w:rPr>
                <w:rFonts w:ascii="Arial" w:hAnsi="Arial" w:cs="Arial"/>
                <w:color w:val="auto"/>
                <w:sz w:val="20"/>
                <w:szCs w:val="20"/>
              </w:rPr>
              <w:t>P1</w:t>
            </w:r>
          </w:p>
        </w:tc>
        <w:tc>
          <w:tcPr>
            <w:tcW w:w="844" w:type="dxa"/>
            <w:tcBorders>
              <w:top w:val="single" w:sz="4" w:space="0" w:color="auto"/>
              <w:left w:val="nil"/>
              <w:bottom w:val="single" w:sz="4" w:space="0" w:color="auto"/>
              <w:right w:val="nil"/>
            </w:tcBorders>
          </w:tcPr>
          <w:p w:rsidR="00200AF2" w:rsidRPr="007C7153" w:rsidRDefault="00200AF2" w:rsidP="007C7153">
            <w:pPr>
              <w:suppressAutoHyphens w:val="0"/>
              <w:spacing w:after="0"/>
              <w:jc w:val="center"/>
              <w:rPr>
                <w:rFonts w:ascii="Arial" w:hAnsi="Arial" w:cs="Arial"/>
                <w:color w:val="auto"/>
                <w:sz w:val="20"/>
                <w:szCs w:val="20"/>
              </w:rPr>
            </w:pPr>
            <w:r>
              <w:rPr>
                <w:rFonts w:ascii="Arial" w:hAnsi="Arial" w:cs="Arial"/>
                <w:color w:val="auto"/>
                <w:sz w:val="20"/>
                <w:szCs w:val="20"/>
              </w:rPr>
              <w:t>P2</w:t>
            </w:r>
          </w:p>
        </w:tc>
      </w:tr>
      <w:tr w:rsidR="00DF559E" w:rsidRPr="007C7153" w:rsidTr="00DF559E">
        <w:trPr>
          <w:trHeight w:val="255"/>
        </w:trPr>
        <w:tc>
          <w:tcPr>
            <w:tcW w:w="1780" w:type="dxa"/>
            <w:tcBorders>
              <w:top w:val="single" w:sz="4" w:space="0" w:color="auto"/>
              <w:left w:val="nil"/>
              <w:bottom w:val="nil"/>
              <w:right w:val="nil"/>
            </w:tcBorders>
            <w:shd w:val="clear" w:color="auto" w:fill="auto"/>
            <w:noWrap/>
            <w:vAlign w:val="center"/>
            <w:hideMark/>
          </w:tcPr>
          <w:p w:rsidR="00DF559E" w:rsidRPr="007C7153" w:rsidRDefault="00DF559E" w:rsidP="00DF559E">
            <w:pPr>
              <w:suppressAutoHyphens w:val="0"/>
              <w:spacing w:after="0"/>
              <w:jc w:val="right"/>
              <w:rPr>
                <w:rFonts w:ascii="Arial" w:hAnsi="Arial" w:cs="Arial"/>
                <w:color w:val="auto"/>
                <w:sz w:val="20"/>
                <w:szCs w:val="20"/>
              </w:rPr>
            </w:pPr>
            <w:r w:rsidRPr="007C7153">
              <w:rPr>
                <w:rFonts w:ascii="Arial" w:hAnsi="Arial" w:cs="Arial"/>
                <w:color w:val="auto"/>
                <w:sz w:val="20"/>
                <w:szCs w:val="20"/>
              </w:rPr>
              <w:t>National</w:t>
            </w:r>
          </w:p>
        </w:tc>
        <w:tc>
          <w:tcPr>
            <w:tcW w:w="1550" w:type="dxa"/>
            <w:tcBorders>
              <w:top w:val="single" w:sz="4" w:space="0" w:color="auto"/>
              <w:left w:val="nil"/>
              <w:bottom w:val="nil"/>
              <w:right w:val="nil"/>
            </w:tcBorders>
            <w:shd w:val="clear" w:color="auto" w:fill="auto"/>
            <w:noWrap/>
            <w:vAlign w:val="center"/>
            <w:hideMark/>
          </w:tcPr>
          <w:p w:rsidR="00DF559E" w:rsidRDefault="00DF559E" w:rsidP="00DF559E">
            <w:pPr>
              <w:suppressAutoHyphens w:val="0"/>
              <w:spacing w:after="0"/>
              <w:jc w:val="center"/>
              <w:rPr>
                <w:rFonts w:ascii="Arial" w:hAnsi="Arial" w:cs="Arial"/>
                <w:color w:val="auto"/>
                <w:sz w:val="20"/>
                <w:szCs w:val="20"/>
              </w:rPr>
            </w:pPr>
            <w:r>
              <w:rPr>
                <w:rFonts w:ascii="Arial" w:hAnsi="Arial" w:cs="Arial"/>
                <w:sz w:val="20"/>
                <w:szCs w:val="20"/>
              </w:rPr>
              <w:t>33.0</w:t>
            </w:r>
          </w:p>
        </w:tc>
        <w:tc>
          <w:tcPr>
            <w:tcW w:w="900" w:type="dxa"/>
            <w:tcBorders>
              <w:top w:val="single" w:sz="4" w:space="0" w:color="auto"/>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9.3</w:t>
            </w:r>
          </w:p>
        </w:tc>
        <w:tc>
          <w:tcPr>
            <w:tcW w:w="900" w:type="dxa"/>
            <w:tcBorders>
              <w:top w:val="single" w:sz="4" w:space="0" w:color="auto"/>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3.9</w:t>
            </w:r>
          </w:p>
        </w:tc>
        <w:tc>
          <w:tcPr>
            <w:tcW w:w="1280" w:type="dxa"/>
            <w:tcBorders>
              <w:top w:val="single" w:sz="4" w:space="0" w:color="auto"/>
              <w:left w:val="nil"/>
              <w:bottom w:val="nil"/>
              <w:right w:val="nil"/>
            </w:tcBorders>
            <w:shd w:val="clear" w:color="auto" w:fill="auto"/>
            <w:noWrap/>
            <w:vAlign w:val="center"/>
            <w:hideMark/>
          </w:tcPr>
          <w:p w:rsidR="00DF559E" w:rsidRPr="007C7153" w:rsidRDefault="00DF559E" w:rsidP="00DF559E">
            <w:pPr>
              <w:suppressAutoHyphens w:val="0"/>
              <w:spacing w:after="0"/>
              <w:jc w:val="center"/>
              <w:rPr>
                <w:rFonts w:ascii="Arial" w:hAnsi="Arial" w:cs="Arial"/>
                <w:color w:val="auto"/>
                <w:sz w:val="20"/>
                <w:szCs w:val="20"/>
              </w:rPr>
            </w:pPr>
            <w:r w:rsidRPr="007C7153">
              <w:rPr>
                <w:rFonts w:ascii="Arial" w:hAnsi="Arial" w:cs="Arial"/>
                <w:color w:val="auto"/>
                <w:sz w:val="20"/>
                <w:szCs w:val="20"/>
              </w:rPr>
              <w:t>19.47</w:t>
            </w:r>
          </w:p>
        </w:tc>
        <w:tc>
          <w:tcPr>
            <w:tcW w:w="844" w:type="dxa"/>
            <w:tcBorders>
              <w:top w:val="single" w:sz="4" w:space="0" w:color="auto"/>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5.2</w:t>
            </w:r>
          </w:p>
        </w:tc>
        <w:tc>
          <w:tcPr>
            <w:tcW w:w="844" w:type="dxa"/>
            <w:tcBorders>
              <w:top w:val="single" w:sz="4" w:space="0" w:color="auto"/>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2.0</w:t>
            </w:r>
          </w:p>
        </w:tc>
      </w:tr>
      <w:tr w:rsidR="00200AF2" w:rsidRPr="007C7153" w:rsidTr="00DF559E">
        <w:trPr>
          <w:trHeight w:val="255"/>
        </w:trPr>
        <w:tc>
          <w:tcPr>
            <w:tcW w:w="1780" w:type="dxa"/>
            <w:tcBorders>
              <w:top w:val="nil"/>
              <w:left w:val="nil"/>
              <w:bottom w:val="nil"/>
              <w:right w:val="nil"/>
            </w:tcBorders>
            <w:shd w:val="clear" w:color="auto" w:fill="auto"/>
            <w:noWrap/>
            <w:vAlign w:val="center"/>
            <w:hideMark/>
          </w:tcPr>
          <w:p w:rsidR="00200AF2" w:rsidRPr="007C7153" w:rsidRDefault="00200AF2" w:rsidP="007C7153">
            <w:pPr>
              <w:suppressAutoHyphens w:val="0"/>
              <w:spacing w:after="0"/>
              <w:jc w:val="right"/>
              <w:rPr>
                <w:rFonts w:ascii="Arial" w:hAnsi="Arial" w:cs="Arial"/>
                <w:color w:val="auto"/>
                <w:sz w:val="20"/>
                <w:szCs w:val="20"/>
              </w:rPr>
            </w:pPr>
            <w:r w:rsidRPr="007C7153">
              <w:rPr>
                <w:rFonts w:ascii="Arial" w:hAnsi="Arial" w:cs="Arial"/>
                <w:color w:val="auto"/>
                <w:sz w:val="20"/>
                <w:szCs w:val="20"/>
              </w:rPr>
              <w:t xml:space="preserve"> </w:t>
            </w:r>
          </w:p>
        </w:tc>
        <w:tc>
          <w:tcPr>
            <w:tcW w:w="1550" w:type="dxa"/>
            <w:tcBorders>
              <w:top w:val="nil"/>
              <w:left w:val="nil"/>
              <w:bottom w:val="nil"/>
              <w:right w:val="nil"/>
            </w:tcBorders>
            <w:shd w:val="clear" w:color="auto" w:fill="auto"/>
            <w:noWrap/>
            <w:vAlign w:val="center"/>
            <w:hideMark/>
          </w:tcPr>
          <w:p w:rsidR="00200AF2" w:rsidRPr="007C7153" w:rsidRDefault="00200AF2" w:rsidP="00DF559E">
            <w:pPr>
              <w:suppressAutoHyphens w:val="0"/>
              <w:spacing w:after="0"/>
              <w:jc w:val="center"/>
              <w:rPr>
                <w:rFonts w:ascii="Arial" w:hAnsi="Arial" w:cs="Arial"/>
                <w:color w:val="auto"/>
                <w:sz w:val="20"/>
                <w:szCs w:val="20"/>
              </w:rPr>
            </w:pPr>
          </w:p>
        </w:tc>
        <w:tc>
          <w:tcPr>
            <w:tcW w:w="900" w:type="dxa"/>
            <w:tcBorders>
              <w:top w:val="nil"/>
              <w:left w:val="nil"/>
              <w:bottom w:val="nil"/>
              <w:right w:val="nil"/>
            </w:tcBorders>
            <w:shd w:val="clear" w:color="auto" w:fill="auto"/>
            <w:noWrap/>
            <w:vAlign w:val="center"/>
          </w:tcPr>
          <w:p w:rsidR="00200AF2" w:rsidRPr="007C7153" w:rsidRDefault="00200AF2" w:rsidP="00DF559E">
            <w:pPr>
              <w:suppressAutoHyphens w:val="0"/>
              <w:spacing w:after="0"/>
              <w:jc w:val="center"/>
              <w:rPr>
                <w:color w:val="auto"/>
                <w:sz w:val="20"/>
                <w:szCs w:val="20"/>
              </w:rPr>
            </w:pPr>
          </w:p>
        </w:tc>
        <w:tc>
          <w:tcPr>
            <w:tcW w:w="900" w:type="dxa"/>
            <w:tcBorders>
              <w:top w:val="nil"/>
              <w:left w:val="nil"/>
              <w:bottom w:val="nil"/>
              <w:right w:val="nil"/>
            </w:tcBorders>
            <w:shd w:val="clear" w:color="auto" w:fill="auto"/>
            <w:noWrap/>
            <w:vAlign w:val="center"/>
          </w:tcPr>
          <w:p w:rsidR="00200AF2" w:rsidRPr="007C7153" w:rsidRDefault="00200AF2" w:rsidP="00DF559E">
            <w:pPr>
              <w:suppressAutoHyphens w:val="0"/>
              <w:spacing w:after="0"/>
              <w:jc w:val="center"/>
              <w:rPr>
                <w:color w:val="auto"/>
                <w:sz w:val="20"/>
                <w:szCs w:val="20"/>
              </w:rPr>
            </w:pPr>
          </w:p>
        </w:tc>
        <w:tc>
          <w:tcPr>
            <w:tcW w:w="1280" w:type="dxa"/>
            <w:tcBorders>
              <w:top w:val="nil"/>
              <w:left w:val="nil"/>
              <w:bottom w:val="nil"/>
              <w:right w:val="nil"/>
            </w:tcBorders>
            <w:shd w:val="clear" w:color="auto" w:fill="auto"/>
            <w:noWrap/>
            <w:vAlign w:val="center"/>
            <w:hideMark/>
          </w:tcPr>
          <w:p w:rsidR="00200AF2" w:rsidRPr="007C7153" w:rsidRDefault="00200AF2" w:rsidP="007C7153">
            <w:pPr>
              <w:suppressAutoHyphens w:val="0"/>
              <w:spacing w:after="0"/>
              <w:jc w:val="center"/>
              <w:rPr>
                <w:color w:val="auto"/>
                <w:sz w:val="20"/>
                <w:szCs w:val="20"/>
              </w:rPr>
            </w:pPr>
          </w:p>
        </w:tc>
        <w:tc>
          <w:tcPr>
            <w:tcW w:w="844" w:type="dxa"/>
            <w:tcBorders>
              <w:top w:val="nil"/>
              <w:left w:val="nil"/>
              <w:bottom w:val="nil"/>
              <w:right w:val="nil"/>
            </w:tcBorders>
            <w:vAlign w:val="center"/>
          </w:tcPr>
          <w:p w:rsidR="00200AF2" w:rsidRPr="007C7153" w:rsidRDefault="00200AF2" w:rsidP="007C7153">
            <w:pPr>
              <w:suppressAutoHyphens w:val="0"/>
              <w:spacing w:after="0"/>
              <w:jc w:val="center"/>
              <w:rPr>
                <w:color w:val="auto"/>
                <w:sz w:val="20"/>
                <w:szCs w:val="20"/>
              </w:rPr>
            </w:pPr>
          </w:p>
        </w:tc>
        <w:tc>
          <w:tcPr>
            <w:tcW w:w="844" w:type="dxa"/>
            <w:tcBorders>
              <w:top w:val="nil"/>
              <w:left w:val="nil"/>
              <w:bottom w:val="nil"/>
              <w:right w:val="nil"/>
            </w:tcBorders>
            <w:vAlign w:val="center"/>
          </w:tcPr>
          <w:p w:rsidR="00200AF2" w:rsidRPr="007C7153" w:rsidRDefault="00200AF2" w:rsidP="007C7153">
            <w:pPr>
              <w:suppressAutoHyphens w:val="0"/>
              <w:spacing w:after="0"/>
              <w:jc w:val="center"/>
              <w:rPr>
                <w:color w:val="auto"/>
                <w:sz w:val="20"/>
                <w:szCs w:val="20"/>
              </w:rPr>
            </w:pPr>
          </w:p>
        </w:tc>
      </w:tr>
      <w:tr w:rsidR="00DF559E" w:rsidRPr="007C7153" w:rsidTr="00DF559E">
        <w:trPr>
          <w:trHeight w:val="255"/>
        </w:trPr>
        <w:tc>
          <w:tcPr>
            <w:tcW w:w="17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right"/>
              <w:rPr>
                <w:rFonts w:ascii="Arial" w:hAnsi="Arial" w:cs="Arial"/>
                <w:color w:val="auto"/>
                <w:sz w:val="20"/>
                <w:szCs w:val="20"/>
              </w:rPr>
            </w:pPr>
            <w:r w:rsidRPr="007C7153">
              <w:rPr>
                <w:rFonts w:ascii="Arial" w:hAnsi="Arial" w:cs="Arial"/>
                <w:color w:val="auto"/>
                <w:sz w:val="20"/>
                <w:szCs w:val="20"/>
              </w:rPr>
              <w:t>Central</w:t>
            </w:r>
          </w:p>
        </w:tc>
        <w:tc>
          <w:tcPr>
            <w:tcW w:w="1550" w:type="dxa"/>
            <w:tcBorders>
              <w:top w:val="nil"/>
              <w:left w:val="nil"/>
              <w:bottom w:val="nil"/>
              <w:right w:val="nil"/>
            </w:tcBorders>
            <w:shd w:val="clear" w:color="auto" w:fill="auto"/>
            <w:noWrap/>
            <w:vAlign w:val="center"/>
            <w:hideMark/>
          </w:tcPr>
          <w:p w:rsidR="00DF559E" w:rsidRDefault="00DF559E" w:rsidP="00DF559E">
            <w:pPr>
              <w:suppressAutoHyphens w:val="0"/>
              <w:spacing w:after="0"/>
              <w:jc w:val="center"/>
              <w:rPr>
                <w:rFonts w:ascii="Arial" w:hAnsi="Arial" w:cs="Arial"/>
                <w:color w:val="auto"/>
                <w:sz w:val="20"/>
                <w:szCs w:val="20"/>
              </w:rPr>
            </w:pPr>
            <w:r>
              <w:rPr>
                <w:rFonts w:ascii="Arial" w:hAnsi="Arial" w:cs="Arial"/>
                <w:sz w:val="20"/>
                <w:szCs w:val="20"/>
              </w:rPr>
              <w:t>17.3</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4.0</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1.4</w:t>
            </w:r>
          </w:p>
        </w:tc>
        <w:tc>
          <w:tcPr>
            <w:tcW w:w="12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4.7</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1.0</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0.3</w:t>
            </w:r>
          </w:p>
        </w:tc>
      </w:tr>
      <w:tr w:rsidR="00DF559E" w:rsidRPr="007C7153" w:rsidTr="00DF559E">
        <w:trPr>
          <w:trHeight w:val="255"/>
        </w:trPr>
        <w:tc>
          <w:tcPr>
            <w:tcW w:w="17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right"/>
              <w:rPr>
                <w:rFonts w:ascii="Arial" w:hAnsi="Arial" w:cs="Arial"/>
                <w:color w:val="auto"/>
                <w:sz w:val="20"/>
                <w:szCs w:val="20"/>
              </w:rPr>
            </w:pPr>
            <w:r w:rsidRPr="007C7153">
              <w:rPr>
                <w:rFonts w:ascii="Arial" w:hAnsi="Arial" w:cs="Arial"/>
                <w:color w:val="auto"/>
                <w:sz w:val="20"/>
                <w:szCs w:val="20"/>
              </w:rPr>
              <w:t>Eastern</w:t>
            </w:r>
          </w:p>
        </w:tc>
        <w:tc>
          <w:tcPr>
            <w:tcW w:w="1550" w:type="dxa"/>
            <w:tcBorders>
              <w:top w:val="nil"/>
              <w:left w:val="nil"/>
              <w:bottom w:val="nil"/>
              <w:right w:val="nil"/>
            </w:tcBorders>
            <w:shd w:val="clear" w:color="auto" w:fill="auto"/>
            <w:noWrap/>
            <w:vAlign w:val="center"/>
            <w:hideMark/>
          </w:tcPr>
          <w:p w:rsidR="00DF559E" w:rsidRDefault="00DF559E" w:rsidP="00DF559E">
            <w:pPr>
              <w:spacing w:after="0"/>
              <w:jc w:val="center"/>
              <w:rPr>
                <w:rFonts w:ascii="Arial" w:hAnsi="Arial" w:cs="Arial"/>
                <w:sz w:val="20"/>
                <w:szCs w:val="20"/>
              </w:rPr>
            </w:pPr>
            <w:r>
              <w:rPr>
                <w:rFonts w:ascii="Arial" w:hAnsi="Arial" w:cs="Arial"/>
                <w:sz w:val="20"/>
                <w:szCs w:val="20"/>
              </w:rPr>
              <w:t>40.8</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10.3</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3.8</w:t>
            </w:r>
          </w:p>
        </w:tc>
        <w:tc>
          <w:tcPr>
            <w:tcW w:w="12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center"/>
              <w:rPr>
                <w:rFonts w:ascii="Arial" w:hAnsi="Arial" w:cs="Arial"/>
                <w:color w:val="auto"/>
                <w:sz w:val="20"/>
                <w:szCs w:val="20"/>
              </w:rPr>
            </w:pPr>
            <w:r w:rsidRPr="007C7153">
              <w:rPr>
                <w:rFonts w:ascii="Arial" w:hAnsi="Arial" w:cs="Arial"/>
                <w:color w:val="auto"/>
                <w:sz w:val="20"/>
                <w:szCs w:val="20"/>
              </w:rPr>
              <w:t>24.</w:t>
            </w:r>
            <w:r>
              <w:rPr>
                <w:rFonts w:ascii="Arial" w:hAnsi="Arial" w:cs="Arial"/>
                <w:color w:val="auto"/>
                <w:sz w:val="20"/>
                <w:szCs w:val="20"/>
              </w:rPr>
              <w:t>5</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5.3</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1.7</w:t>
            </w:r>
          </w:p>
        </w:tc>
      </w:tr>
      <w:tr w:rsidR="00DF559E" w:rsidRPr="007C7153" w:rsidTr="00DF559E">
        <w:trPr>
          <w:trHeight w:val="255"/>
        </w:trPr>
        <w:tc>
          <w:tcPr>
            <w:tcW w:w="17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right"/>
              <w:rPr>
                <w:rFonts w:ascii="Arial" w:hAnsi="Arial" w:cs="Arial"/>
                <w:color w:val="auto"/>
                <w:sz w:val="20"/>
                <w:szCs w:val="20"/>
              </w:rPr>
            </w:pPr>
            <w:r w:rsidRPr="007C7153">
              <w:rPr>
                <w:rFonts w:ascii="Arial" w:hAnsi="Arial" w:cs="Arial"/>
                <w:color w:val="auto"/>
                <w:sz w:val="20"/>
                <w:szCs w:val="20"/>
              </w:rPr>
              <w:t>Northern</w:t>
            </w:r>
          </w:p>
        </w:tc>
        <w:tc>
          <w:tcPr>
            <w:tcW w:w="1550" w:type="dxa"/>
            <w:tcBorders>
              <w:top w:val="nil"/>
              <w:left w:val="nil"/>
              <w:bottom w:val="nil"/>
              <w:right w:val="nil"/>
            </w:tcBorders>
            <w:shd w:val="clear" w:color="auto" w:fill="auto"/>
            <w:noWrap/>
            <w:vAlign w:val="center"/>
            <w:hideMark/>
          </w:tcPr>
          <w:p w:rsidR="00DF559E" w:rsidRDefault="00DF559E" w:rsidP="00DF559E">
            <w:pPr>
              <w:spacing w:after="0"/>
              <w:jc w:val="center"/>
              <w:rPr>
                <w:rFonts w:ascii="Arial" w:hAnsi="Arial" w:cs="Arial"/>
                <w:sz w:val="20"/>
                <w:szCs w:val="20"/>
              </w:rPr>
            </w:pPr>
            <w:r>
              <w:rPr>
                <w:rFonts w:ascii="Arial" w:hAnsi="Arial" w:cs="Arial"/>
                <w:sz w:val="20"/>
                <w:szCs w:val="20"/>
              </w:rPr>
              <w:t>51.2</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18.7</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9.1</w:t>
            </w:r>
          </w:p>
        </w:tc>
        <w:tc>
          <w:tcPr>
            <w:tcW w:w="12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center"/>
              <w:rPr>
                <w:rFonts w:ascii="Arial" w:hAnsi="Arial" w:cs="Arial"/>
                <w:color w:val="auto"/>
                <w:sz w:val="20"/>
                <w:szCs w:val="20"/>
              </w:rPr>
            </w:pPr>
            <w:r w:rsidRPr="007C7153">
              <w:rPr>
                <w:rFonts w:ascii="Arial" w:hAnsi="Arial" w:cs="Arial"/>
                <w:color w:val="auto"/>
                <w:sz w:val="20"/>
                <w:szCs w:val="20"/>
              </w:rPr>
              <w:t>43.</w:t>
            </w:r>
            <w:r>
              <w:rPr>
                <w:rFonts w:ascii="Arial" w:hAnsi="Arial" w:cs="Arial"/>
                <w:color w:val="auto"/>
                <w:sz w:val="20"/>
                <w:szCs w:val="20"/>
              </w:rPr>
              <w:t>7</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14.1</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6.2</w:t>
            </w:r>
          </w:p>
        </w:tc>
      </w:tr>
      <w:tr w:rsidR="00DF559E" w:rsidRPr="007C7153" w:rsidTr="00DF559E">
        <w:trPr>
          <w:trHeight w:val="255"/>
        </w:trPr>
        <w:tc>
          <w:tcPr>
            <w:tcW w:w="17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right"/>
              <w:rPr>
                <w:rFonts w:ascii="Arial" w:hAnsi="Arial" w:cs="Arial"/>
                <w:color w:val="auto"/>
                <w:sz w:val="20"/>
                <w:szCs w:val="20"/>
              </w:rPr>
            </w:pPr>
            <w:r w:rsidRPr="007C7153">
              <w:rPr>
                <w:rFonts w:ascii="Arial" w:hAnsi="Arial" w:cs="Arial"/>
                <w:color w:val="auto"/>
                <w:sz w:val="20"/>
                <w:szCs w:val="20"/>
              </w:rPr>
              <w:t>Western</w:t>
            </w:r>
          </w:p>
        </w:tc>
        <w:tc>
          <w:tcPr>
            <w:tcW w:w="1550" w:type="dxa"/>
            <w:tcBorders>
              <w:top w:val="nil"/>
              <w:left w:val="nil"/>
              <w:bottom w:val="nil"/>
              <w:right w:val="nil"/>
            </w:tcBorders>
            <w:shd w:val="clear" w:color="auto" w:fill="auto"/>
            <w:noWrap/>
            <w:vAlign w:val="center"/>
            <w:hideMark/>
          </w:tcPr>
          <w:p w:rsidR="00DF559E" w:rsidRDefault="00DF559E" w:rsidP="00DF559E">
            <w:pPr>
              <w:spacing w:after="0"/>
              <w:jc w:val="center"/>
              <w:rPr>
                <w:rFonts w:ascii="Arial" w:hAnsi="Arial" w:cs="Arial"/>
                <w:sz w:val="20"/>
                <w:szCs w:val="20"/>
              </w:rPr>
            </w:pPr>
            <w:r>
              <w:rPr>
                <w:rFonts w:ascii="Arial" w:hAnsi="Arial" w:cs="Arial"/>
                <w:sz w:val="20"/>
                <w:szCs w:val="20"/>
              </w:rPr>
              <w:t>24.2</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5.7</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2.0</w:t>
            </w:r>
          </w:p>
        </w:tc>
        <w:tc>
          <w:tcPr>
            <w:tcW w:w="12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8.7</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1.7</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0.5</w:t>
            </w:r>
          </w:p>
        </w:tc>
      </w:tr>
      <w:tr w:rsidR="00200AF2" w:rsidRPr="007C7153" w:rsidTr="00DF559E">
        <w:trPr>
          <w:trHeight w:val="255"/>
        </w:trPr>
        <w:tc>
          <w:tcPr>
            <w:tcW w:w="1780" w:type="dxa"/>
            <w:tcBorders>
              <w:top w:val="nil"/>
              <w:left w:val="nil"/>
              <w:bottom w:val="nil"/>
              <w:right w:val="nil"/>
            </w:tcBorders>
            <w:shd w:val="clear" w:color="auto" w:fill="auto"/>
            <w:noWrap/>
            <w:vAlign w:val="center"/>
            <w:hideMark/>
          </w:tcPr>
          <w:p w:rsidR="00200AF2" w:rsidRPr="007C7153" w:rsidRDefault="00200AF2" w:rsidP="007C7153">
            <w:pPr>
              <w:suppressAutoHyphens w:val="0"/>
              <w:spacing w:after="0"/>
              <w:jc w:val="right"/>
              <w:rPr>
                <w:rFonts w:ascii="Arial" w:hAnsi="Arial" w:cs="Arial"/>
                <w:color w:val="auto"/>
                <w:sz w:val="20"/>
                <w:szCs w:val="20"/>
              </w:rPr>
            </w:pPr>
            <w:r w:rsidRPr="007C7153">
              <w:rPr>
                <w:rFonts w:ascii="Arial" w:hAnsi="Arial" w:cs="Arial"/>
                <w:color w:val="auto"/>
                <w:sz w:val="20"/>
                <w:szCs w:val="20"/>
              </w:rPr>
              <w:t xml:space="preserve"> </w:t>
            </w:r>
          </w:p>
        </w:tc>
        <w:tc>
          <w:tcPr>
            <w:tcW w:w="1550" w:type="dxa"/>
            <w:tcBorders>
              <w:top w:val="nil"/>
              <w:left w:val="nil"/>
              <w:bottom w:val="nil"/>
              <w:right w:val="nil"/>
            </w:tcBorders>
            <w:shd w:val="clear" w:color="auto" w:fill="auto"/>
            <w:noWrap/>
            <w:vAlign w:val="center"/>
            <w:hideMark/>
          </w:tcPr>
          <w:p w:rsidR="00200AF2" w:rsidRPr="007C7153" w:rsidRDefault="00200AF2" w:rsidP="00DF559E">
            <w:pPr>
              <w:suppressAutoHyphens w:val="0"/>
              <w:spacing w:after="0"/>
              <w:jc w:val="center"/>
              <w:rPr>
                <w:rFonts w:ascii="Arial" w:hAnsi="Arial" w:cs="Arial"/>
                <w:color w:val="auto"/>
                <w:sz w:val="20"/>
                <w:szCs w:val="20"/>
              </w:rPr>
            </w:pPr>
          </w:p>
        </w:tc>
        <w:tc>
          <w:tcPr>
            <w:tcW w:w="900" w:type="dxa"/>
            <w:tcBorders>
              <w:top w:val="nil"/>
              <w:left w:val="nil"/>
              <w:bottom w:val="nil"/>
              <w:right w:val="nil"/>
            </w:tcBorders>
            <w:shd w:val="clear" w:color="auto" w:fill="auto"/>
            <w:noWrap/>
            <w:vAlign w:val="center"/>
          </w:tcPr>
          <w:p w:rsidR="00200AF2" w:rsidRPr="007C7153" w:rsidRDefault="00200AF2" w:rsidP="00DF559E">
            <w:pPr>
              <w:suppressAutoHyphens w:val="0"/>
              <w:spacing w:after="0"/>
              <w:jc w:val="center"/>
              <w:rPr>
                <w:color w:val="auto"/>
                <w:sz w:val="20"/>
                <w:szCs w:val="20"/>
              </w:rPr>
            </w:pPr>
          </w:p>
        </w:tc>
        <w:tc>
          <w:tcPr>
            <w:tcW w:w="900" w:type="dxa"/>
            <w:tcBorders>
              <w:top w:val="nil"/>
              <w:left w:val="nil"/>
              <w:bottom w:val="nil"/>
              <w:right w:val="nil"/>
            </w:tcBorders>
            <w:shd w:val="clear" w:color="auto" w:fill="auto"/>
            <w:noWrap/>
            <w:vAlign w:val="center"/>
          </w:tcPr>
          <w:p w:rsidR="00200AF2" w:rsidRPr="007C7153" w:rsidRDefault="00200AF2" w:rsidP="00DF559E">
            <w:pPr>
              <w:suppressAutoHyphens w:val="0"/>
              <w:spacing w:after="0"/>
              <w:jc w:val="center"/>
              <w:rPr>
                <w:color w:val="auto"/>
                <w:sz w:val="20"/>
                <w:szCs w:val="20"/>
              </w:rPr>
            </w:pPr>
          </w:p>
        </w:tc>
        <w:tc>
          <w:tcPr>
            <w:tcW w:w="1280" w:type="dxa"/>
            <w:tcBorders>
              <w:top w:val="nil"/>
              <w:left w:val="nil"/>
              <w:bottom w:val="nil"/>
              <w:right w:val="nil"/>
            </w:tcBorders>
            <w:shd w:val="clear" w:color="auto" w:fill="auto"/>
            <w:noWrap/>
            <w:vAlign w:val="center"/>
            <w:hideMark/>
          </w:tcPr>
          <w:p w:rsidR="00200AF2" w:rsidRPr="007C7153" w:rsidRDefault="00200AF2" w:rsidP="007C7153">
            <w:pPr>
              <w:suppressAutoHyphens w:val="0"/>
              <w:spacing w:after="0"/>
              <w:jc w:val="center"/>
              <w:rPr>
                <w:color w:val="auto"/>
                <w:sz w:val="20"/>
                <w:szCs w:val="20"/>
              </w:rPr>
            </w:pPr>
          </w:p>
        </w:tc>
        <w:tc>
          <w:tcPr>
            <w:tcW w:w="844" w:type="dxa"/>
            <w:tcBorders>
              <w:top w:val="nil"/>
              <w:left w:val="nil"/>
              <w:bottom w:val="nil"/>
              <w:right w:val="nil"/>
            </w:tcBorders>
            <w:vAlign w:val="center"/>
          </w:tcPr>
          <w:p w:rsidR="00200AF2" w:rsidRPr="007C7153" w:rsidRDefault="00200AF2" w:rsidP="007C7153">
            <w:pPr>
              <w:suppressAutoHyphens w:val="0"/>
              <w:spacing w:after="0"/>
              <w:jc w:val="center"/>
              <w:rPr>
                <w:color w:val="auto"/>
                <w:sz w:val="20"/>
                <w:szCs w:val="20"/>
              </w:rPr>
            </w:pPr>
          </w:p>
        </w:tc>
        <w:tc>
          <w:tcPr>
            <w:tcW w:w="844" w:type="dxa"/>
            <w:tcBorders>
              <w:top w:val="nil"/>
              <w:left w:val="nil"/>
              <w:bottom w:val="nil"/>
              <w:right w:val="nil"/>
            </w:tcBorders>
            <w:vAlign w:val="center"/>
          </w:tcPr>
          <w:p w:rsidR="00200AF2" w:rsidRPr="007C7153" w:rsidRDefault="00200AF2" w:rsidP="007C7153">
            <w:pPr>
              <w:suppressAutoHyphens w:val="0"/>
              <w:spacing w:after="0"/>
              <w:jc w:val="center"/>
              <w:rPr>
                <w:color w:val="auto"/>
                <w:sz w:val="20"/>
                <w:szCs w:val="20"/>
              </w:rPr>
            </w:pPr>
          </w:p>
        </w:tc>
      </w:tr>
      <w:tr w:rsidR="00DF559E" w:rsidRPr="007C7153" w:rsidTr="00DF559E">
        <w:trPr>
          <w:trHeight w:val="255"/>
        </w:trPr>
        <w:tc>
          <w:tcPr>
            <w:tcW w:w="17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right"/>
              <w:rPr>
                <w:rFonts w:ascii="Arial" w:hAnsi="Arial" w:cs="Arial"/>
                <w:color w:val="auto"/>
                <w:sz w:val="20"/>
                <w:szCs w:val="20"/>
              </w:rPr>
            </w:pPr>
            <w:r w:rsidRPr="007C7153">
              <w:rPr>
                <w:rFonts w:ascii="Arial" w:hAnsi="Arial" w:cs="Arial"/>
                <w:color w:val="auto"/>
                <w:sz w:val="20"/>
                <w:szCs w:val="20"/>
              </w:rPr>
              <w:t>Kampala</w:t>
            </w:r>
          </w:p>
        </w:tc>
        <w:tc>
          <w:tcPr>
            <w:tcW w:w="1550" w:type="dxa"/>
            <w:tcBorders>
              <w:top w:val="nil"/>
              <w:left w:val="nil"/>
              <w:bottom w:val="nil"/>
              <w:right w:val="nil"/>
            </w:tcBorders>
            <w:shd w:val="clear" w:color="auto" w:fill="auto"/>
            <w:noWrap/>
            <w:vAlign w:val="center"/>
            <w:hideMark/>
          </w:tcPr>
          <w:p w:rsidR="00DF559E" w:rsidRDefault="00DF559E" w:rsidP="00DF559E">
            <w:pPr>
              <w:suppressAutoHyphens w:val="0"/>
              <w:spacing w:after="0"/>
              <w:jc w:val="center"/>
              <w:rPr>
                <w:rFonts w:ascii="Arial" w:hAnsi="Arial" w:cs="Arial"/>
                <w:color w:val="auto"/>
                <w:sz w:val="20"/>
                <w:szCs w:val="20"/>
              </w:rPr>
            </w:pPr>
            <w:r>
              <w:rPr>
                <w:rFonts w:ascii="Arial" w:hAnsi="Arial" w:cs="Arial"/>
                <w:sz w:val="20"/>
                <w:szCs w:val="20"/>
              </w:rPr>
              <w:t>2.5</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1.1</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0.7</w:t>
            </w:r>
          </w:p>
        </w:tc>
        <w:tc>
          <w:tcPr>
            <w:tcW w:w="12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center"/>
              <w:rPr>
                <w:rFonts w:ascii="Arial" w:hAnsi="Arial" w:cs="Arial"/>
                <w:color w:val="auto"/>
                <w:sz w:val="20"/>
                <w:szCs w:val="20"/>
              </w:rPr>
            </w:pPr>
            <w:r w:rsidRPr="007C7153">
              <w:rPr>
                <w:rFonts w:ascii="Arial" w:hAnsi="Arial" w:cs="Arial"/>
                <w:color w:val="auto"/>
                <w:sz w:val="20"/>
                <w:szCs w:val="20"/>
              </w:rPr>
              <w:t>0.</w:t>
            </w:r>
            <w:r>
              <w:rPr>
                <w:rFonts w:ascii="Arial" w:hAnsi="Arial" w:cs="Arial"/>
                <w:color w:val="auto"/>
                <w:sz w:val="20"/>
                <w:szCs w:val="20"/>
              </w:rPr>
              <w:t>7</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0.0</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0.1</w:t>
            </w:r>
          </w:p>
        </w:tc>
      </w:tr>
      <w:tr w:rsidR="00DF559E" w:rsidRPr="007C7153" w:rsidTr="00DF559E">
        <w:trPr>
          <w:trHeight w:val="255"/>
        </w:trPr>
        <w:tc>
          <w:tcPr>
            <w:tcW w:w="17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right"/>
              <w:rPr>
                <w:rFonts w:ascii="Arial" w:hAnsi="Arial" w:cs="Arial"/>
                <w:color w:val="auto"/>
                <w:sz w:val="20"/>
                <w:szCs w:val="20"/>
              </w:rPr>
            </w:pPr>
            <w:r w:rsidRPr="007C7153">
              <w:rPr>
                <w:rFonts w:ascii="Arial" w:hAnsi="Arial" w:cs="Arial"/>
                <w:color w:val="auto"/>
                <w:sz w:val="20"/>
                <w:szCs w:val="20"/>
              </w:rPr>
              <w:t>Central1</w:t>
            </w:r>
          </w:p>
        </w:tc>
        <w:tc>
          <w:tcPr>
            <w:tcW w:w="1550" w:type="dxa"/>
            <w:tcBorders>
              <w:top w:val="nil"/>
              <w:left w:val="nil"/>
              <w:bottom w:val="nil"/>
              <w:right w:val="nil"/>
            </w:tcBorders>
            <w:shd w:val="clear" w:color="auto" w:fill="auto"/>
            <w:noWrap/>
            <w:vAlign w:val="center"/>
            <w:hideMark/>
          </w:tcPr>
          <w:p w:rsidR="00DF559E" w:rsidRDefault="00DF559E" w:rsidP="00DF559E">
            <w:pPr>
              <w:spacing w:after="0"/>
              <w:jc w:val="center"/>
              <w:rPr>
                <w:rFonts w:ascii="Arial" w:hAnsi="Arial" w:cs="Arial"/>
                <w:sz w:val="20"/>
                <w:szCs w:val="20"/>
              </w:rPr>
            </w:pPr>
            <w:r>
              <w:rPr>
                <w:rFonts w:ascii="Arial" w:hAnsi="Arial" w:cs="Arial"/>
                <w:sz w:val="20"/>
                <w:szCs w:val="20"/>
              </w:rPr>
              <w:t>14.1</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3.4</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1.3</w:t>
            </w:r>
          </w:p>
        </w:tc>
        <w:tc>
          <w:tcPr>
            <w:tcW w:w="12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center"/>
              <w:rPr>
                <w:rFonts w:ascii="Arial" w:hAnsi="Arial" w:cs="Arial"/>
                <w:color w:val="auto"/>
                <w:sz w:val="20"/>
                <w:szCs w:val="20"/>
              </w:rPr>
            </w:pPr>
            <w:r w:rsidRPr="007C7153">
              <w:rPr>
                <w:rFonts w:ascii="Arial" w:hAnsi="Arial" w:cs="Arial"/>
                <w:color w:val="auto"/>
                <w:sz w:val="20"/>
                <w:szCs w:val="20"/>
              </w:rPr>
              <w:t>3.</w:t>
            </w:r>
            <w:r>
              <w:rPr>
                <w:rFonts w:ascii="Arial" w:hAnsi="Arial" w:cs="Arial"/>
                <w:color w:val="auto"/>
                <w:sz w:val="20"/>
                <w:szCs w:val="20"/>
              </w:rPr>
              <w:t>7</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0.2</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0.4</w:t>
            </w:r>
          </w:p>
        </w:tc>
      </w:tr>
      <w:tr w:rsidR="00DF559E" w:rsidRPr="007C7153" w:rsidTr="00DF559E">
        <w:trPr>
          <w:trHeight w:val="255"/>
        </w:trPr>
        <w:tc>
          <w:tcPr>
            <w:tcW w:w="17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right"/>
              <w:rPr>
                <w:rFonts w:ascii="Arial" w:hAnsi="Arial" w:cs="Arial"/>
                <w:color w:val="auto"/>
                <w:sz w:val="20"/>
                <w:szCs w:val="20"/>
              </w:rPr>
            </w:pPr>
            <w:r w:rsidRPr="007C7153">
              <w:rPr>
                <w:rFonts w:ascii="Arial" w:hAnsi="Arial" w:cs="Arial"/>
                <w:color w:val="auto"/>
                <w:sz w:val="20"/>
                <w:szCs w:val="20"/>
              </w:rPr>
              <w:t xml:space="preserve">Central2 </w:t>
            </w:r>
          </w:p>
        </w:tc>
        <w:tc>
          <w:tcPr>
            <w:tcW w:w="1550" w:type="dxa"/>
            <w:tcBorders>
              <w:top w:val="nil"/>
              <w:left w:val="nil"/>
              <w:bottom w:val="nil"/>
              <w:right w:val="nil"/>
            </w:tcBorders>
            <w:shd w:val="clear" w:color="auto" w:fill="auto"/>
            <w:noWrap/>
            <w:vAlign w:val="center"/>
            <w:hideMark/>
          </w:tcPr>
          <w:p w:rsidR="00DF559E" w:rsidRDefault="00DF559E" w:rsidP="00DF559E">
            <w:pPr>
              <w:spacing w:after="0"/>
              <w:jc w:val="center"/>
              <w:rPr>
                <w:rFonts w:ascii="Arial" w:hAnsi="Arial" w:cs="Arial"/>
                <w:sz w:val="20"/>
                <w:szCs w:val="20"/>
              </w:rPr>
            </w:pPr>
            <w:r>
              <w:rPr>
                <w:rFonts w:ascii="Arial" w:hAnsi="Arial" w:cs="Arial"/>
                <w:sz w:val="20"/>
                <w:szCs w:val="20"/>
              </w:rPr>
              <w:t>25.5</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5.5</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1.8</w:t>
            </w:r>
          </w:p>
        </w:tc>
        <w:tc>
          <w:tcPr>
            <w:tcW w:w="12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center"/>
              <w:rPr>
                <w:rFonts w:ascii="Arial" w:hAnsi="Arial" w:cs="Arial"/>
                <w:color w:val="auto"/>
                <w:sz w:val="20"/>
                <w:szCs w:val="20"/>
              </w:rPr>
            </w:pPr>
            <w:r w:rsidRPr="007C7153">
              <w:rPr>
                <w:rFonts w:ascii="Arial" w:hAnsi="Arial" w:cs="Arial"/>
                <w:color w:val="auto"/>
                <w:sz w:val="20"/>
                <w:szCs w:val="20"/>
              </w:rPr>
              <w:t>7.</w:t>
            </w:r>
            <w:r>
              <w:rPr>
                <w:rFonts w:ascii="Arial" w:hAnsi="Arial" w:cs="Arial"/>
                <w:color w:val="auto"/>
                <w:sz w:val="20"/>
                <w:szCs w:val="20"/>
              </w:rPr>
              <w:t>3</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2.0</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0.4</w:t>
            </w:r>
          </w:p>
        </w:tc>
      </w:tr>
      <w:tr w:rsidR="00DF559E" w:rsidRPr="007C7153" w:rsidTr="00DF559E">
        <w:trPr>
          <w:trHeight w:val="255"/>
        </w:trPr>
        <w:tc>
          <w:tcPr>
            <w:tcW w:w="17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right"/>
              <w:rPr>
                <w:rFonts w:ascii="Arial" w:hAnsi="Arial" w:cs="Arial"/>
                <w:color w:val="auto"/>
                <w:sz w:val="20"/>
                <w:szCs w:val="20"/>
              </w:rPr>
            </w:pPr>
            <w:r w:rsidRPr="007C7153">
              <w:rPr>
                <w:rFonts w:ascii="Arial" w:hAnsi="Arial" w:cs="Arial"/>
                <w:color w:val="auto"/>
                <w:sz w:val="20"/>
                <w:szCs w:val="20"/>
              </w:rPr>
              <w:t>East Central</w:t>
            </w:r>
          </w:p>
        </w:tc>
        <w:tc>
          <w:tcPr>
            <w:tcW w:w="1550" w:type="dxa"/>
            <w:tcBorders>
              <w:top w:val="nil"/>
              <w:left w:val="nil"/>
              <w:bottom w:val="nil"/>
              <w:right w:val="nil"/>
            </w:tcBorders>
            <w:shd w:val="clear" w:color="auto" w:fill="auto"/>
            <w:noWrap/>
            <w:vAlign w:val="center"/>
            <w:hideMark/>
          </w:tcPr>
          <w:p w:rsidR="00DF559E" w:rsidRDefault="00DF559E" w:rsidP="00DF559E">
            <w:pPr>
              <w:spacing w:after="0"/>
              <w:jc w:val="center"/>
              <w:rPr>
                <w:rFonts w:ascii="Arial" w:hAnsi="Arial" w:cs="Arial"/>
                <w:sz w:val="20"/>
                <w:szCs w:val="20"/>
              </w:rPr>
            </w:pPr>
            <w:r>
              <w:rPr>
                <w:rFonts w:ascii="Arial" w:hAnsi="Arial" w:cs="Arial"/>
                <w:sz w:val="20"/>
                <w:szCs w:val="20"/>
              </w:rPr>
              <w:t>35.7</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8.6</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3.0</w:t>
            </w:r>
          </w:p>
        </w:tc>
        <w:tc>
          <w:tcPr>
            <w:tcW w:w="12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center"/>
              <w:rPr>
                <w:rFonts w:ascii="Arial" w:hAnsi="Arial" w:cs="Arial"/>
                <w:color w:val="auto"/>
                <w:sz w:val="20"/>
                <w:szCs w:val="20"/>
              </w:rPr>
            </w:pPr>
            <w:r w:rsidRPr="007C7153">
              <w:rPr>
                <w:rFonts w:ascii="Arial" w:hAnsi="Arial" w:cs="Arial"/>
                <w:color w:val="auto"/>
                <w:sz w:val="20"/>
                <w:szCs w:val="20"/>
              </w:rPr>
              <w:t>24.</w:t>
            </w:r>
            <w:r>
              <w:rPr>
                <w:rFonts w:ascii="Arial" w:hAnsi="Arial" w:cs="Arial"/>
                <w:color w:val="auto"/>
                <w:sz w:val="20"/>
                <w:szCs w:val="20"/>
              </w:rPr>
              <w:t>3</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2.7</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1.4</w:t>
            </w:r>
          </w:p>
        </w:tc>
      </w:tr>
      <w:tr w:rsidR="00DF559E" w:rsidRPr="007C7153" w:rsidTr="00DF559E">
        <w:trPr>
          <w:trHeight w:val="255"/>
        </w:trPr>
        <w:tc>
          <w:tcPr>
            <w:tcW w:w="17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right"/>
              <w:rPr>
                <w:rFonts w:ascii="Arial" w:hAnsi="Arial" w:cs="Arial"/>
                <w:color w:val="auto"/>
                <w:sz w:val="20"/>
                <w:szCs w:val="20"/>
              </w:rPr>
            </w:pPr>
            <w:r w:rsidRPr="007C7153">
              <w:rPr>
                <w:rFonts w:ascii="Arial" w:hAnsi="Arial" w:cs="Arial"/>
                <w:color w:val="auto"/>
                <w:sz w:val="20"/>
                <w:szCs w:val="20"/>
              </w:rPr>
              <w:t>Eastern</w:t>
            </w:r>
          </w:p>
        </w:tc>
        <w:tc>
          <w:tcPr>
            <w:tcW w:w="1550" w:type="dxa"/>
            <w:tcBorders>
              <w:top w:val="nil"/>
              <w:left w:val="nil"/>
              <w:bottom w:val="nil"/>
              <w:right w:val="nil"/>
            </w:tcBorders>
            <w:shd w:val="clear" w:color="auto" w:fill="auto"/>
            <w:noWrap/>
            <w:vAlign w:val="center"/>
            <w:hideMark/>
          </w:tcPr>
          <w:p w:rsidR="00DF559E" w:rsidRDefault="00DF559E" w:rsidP="00DF559E">
            <w:pPr>
              <w:spacing w:after="0"/>
              <w:jc w:val="center"/>
              <w:rPr>
                <w:rFonts w:ascii="Arial" w:hAnsi="Arial" w:cs="Arial"/>
                <w:sz w:val="20"/>
                <w:szCs w:val="20"/>
              </w:rPr>
            </w:pPr>
            <w:r>
              <w:rPr>
                <w:rFonts w:ascii="Arial" w:hAnsi="Arial" w:cs="Arial"/>
                <w:sz w:val="20"/>
                <w:szCs w:val="20"/>
              </w:rPr>
              <w:t>44.2</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11.4</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4.3</w:t>
            </w:r>
          </w:p>
        </w:tc>
        <w:tc>
          <w:tcPr>
            <w:tcW w:w="12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center"/>
              <w:rPr>
                <w:rFonts w:ascii="Arial" w:hAnsi="Arial" w:cs="Arial"/>
                <w:color w:val="auto"/>
                <w:sz w:val="20"/>
                <w:szCs w:val="20"/>
              </w:rPr>
            </w:pPr>
            <w:r w:rsidRPr="007C7153">
              <w:rPr>
                <w:rFonts w:ascii="Arial" w:hAnsi="Arial" w:cs="Arial"/>
                <w:color w:val="auto"/>
                <w:sz w:val="20"/>
                <w:szCs w:val="20"/>
              </w:rPr>
              <w:t>24.</w:t>
            </w:r>
            <w:r>
              <w:rPr>
                <w:rFonts w:ascii="Arial" w:hAnsi="Arial" w:cs="Arial"/>
                <w:color w:val="auto"/>
                <w:sz w:val="20"/>
                <w:szCs w:val="20"/>
              </w:rPr>
              <w:t>7</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11.3</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2.0</w:t>
            </w:r>
          </w:p>
        </w:tc>
      </w:tr>
      <w:tr w:rsidR="00DF559E" w:rsidRPr="007C7153" w:rsidTr="00DF559E">
        <w:trPr>
          <w:trHeight w:val="255"/>
        </w:trPr>
        <w:tc>
          <w:tcPr>
            <w:tcW w:w="17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right"/>
              <w:rPr>
                <w:rFonts w:ascii="Arial" w:hAnsi="Arial" w:cs="Arial"/>
                <w:color w:val="auto"/>
                <w:sz w:val="20"/>
                <w:szCs w:val="20"/>
              </w:rPr>
            </w:pPr>
            <w:r w:rsidRPr="007C7153">
              <w:rPr>
                <w:rFonts w:ascii="Arial" w:hAnsi="Arial" w:cs="Arial"/>
                <w:color w:val="auto"/>
                <w:sz w:val="20"/>
                <w:szCs w:val="20"/>
              </w:rPr>
              <w:t>Mid-North</w:t>
            </w:r>
          </w:p>
        </w:tc>
        <w:tc>
          <w:tcPr>
            <w:tcW w:w="1550" w:type="dxa"/>
            <w:tcBorders>
              <w:top w:val="nil"/>
              <w:left w:val="nil"/>
              <w:bottom w:val="nil"/>
              <w:right w:val="nil"/>
            </w:tcBorders>
            <w:shd w:val="clear" w:color="auto" w:fill="auto"/>
            <w:noWrap/>
            <w:vAlign w:val="center"/>
            <w:hideMark/>
          </w:tcPr>
          <w:p w:rsidR="00DF559E" w:rsidRDefault="00DF559E" w:rsidP="00DF559E">
            <w:pPr>
              <w:spacing w:after="0"/>
              <w:jc w:val="center"/>
              <w:rPr>
                <w:rFonts w:ascii="Arial" w:hAnsi="Arial" w:cs="Arial"/>
                <w:sz w:val="20"/>
                <w:szCs w:val="20"/>
              </w:rPr>
            </w:pPr>
            <w:r>
              <w:rPr>
                <w:rFonts w:ascii="Arial" w:hAnsi="Arial" w:cs="Arial"/>
                <w:sz w:val="20"/>
                <w:szCs w:val="20"/>
              </w:rPr>
              <w:t>44.3</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14.5</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6.4</w:t>
            </w:r>
          </w:p>
        </w:tc>
        <w:tc>
          <w:tcPr>
            <w:tcW w:w="12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center"/>
              <w:rPr>
                <w:rFonts w:ascii="Arial" w:hAnsi="Arial" w:cs="Arial"/>
                <w:color w:val="auto"/>
                <w:sz w:val="20"/>
                <w:szCs w:val="20"/>
              </w:rPr>
            </w:pPr>
            <w:r w:rsidRPr="007C7153">
              <w:rPr>
                <w:rFonts w:ascii="Arial" w:hAnsi="Arial" w:cs="Arial"/>
                <w:color w:val="auto"/>
                <w:sz w:val="20"/>
                <w:szCs w:val="20"/>
              </w:rPr>
              <w:t>35.</w:t>
            </w:r>
            <w:r>
              <w:rPr>
                <w:rFonts w:ascii="Arial" w:hAnsi="Arial" w:cs="Arial"/>
                <w:color w:val="auto"/>
                <w:sz w:val="20"/>
                <w:szCs w:val="20"/>
              </w:rPr>
              <w:t>4</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18.9</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3.9</w:t>
            </w:r>
          </w:p>
        </w:tc>
      </w:tr>
      <w:tr w:rsidR="00DF559E" w:rsidRPr="007C7153" w:rsidTr="00DF559E">
        <w:trPr>
          <w:trHeight w:val="255"/>
        </w:trPr>
        <w:tc>
          <w:tcPr>
            <w:tcW w:w="17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right"/>
              <w:rPr>
                <w:rFonts w:ascii="Arial" w:hAnsi="Arial" w:cs="Arial"/>
                <w:color w:val="auto"/>
                <w:sz w:val="20"/>
                <w:szCs w:val="20"/>
              </w:rPr>
            </w:pPr>
            <w:r w:rsidRPr="007C7153">
              <w:rPr>
                <w:rFonts w:ascii="Arial" w:hAnsi="Arial" w:cs="Arial"/>
                <w:color w:val="auto"/>
                <w:sz w:val="20"/>
                <w:szCs w:val="20"/>
              </w:rPr>
              <w:t xml:space="preserve"> North East</w:t>
            </w:r>
          </w:p>
        </w:tc>
        <w:tc>
          <w:tcPr>
            <w:tcW w:w="1550" w:type="dxa"/>
            <w:tcBorders>
              <w:top w:val="nil"/>
              <w:left w:val="nil"/>
              <w:bottom w:val="nil"/>
              <w:right w:val="nil"/>
            </w:tcBorders>
            <w:shd w:val="clear" w:color="auto" w:fill="auto"/>
            <w:noWrap/>
            <w:vAlign w:val="center"/>
            <w:hideMark/>
          </w:tcPr>
          <w:p w:rsidR="00DF559E" w:rsidRDefault="00DF559E" w:rsidP="00DF559E">
            <w:pPr>
              <w:spacing w:after="0"/>
              <w:jc w:val="center"/>
              <w:rPr>
                <w:rFonts w:ascii="Arial" w:hAnsi="Arial" w:cs="Arial"/>
                <w:sz w:val="20"/>
                <w:szCs w:val="20"/>
              </w:rPr>
            </w:pPr>
            <w:r>
              <w:rPr>
                <w:rFonts w:ascii="Arial" w:hAnsi="Arial" w:cs="Arial"/>
                <w:sz w:val="20"/>
                <w:szCs w:val="20"/>
              </w:rPr>
              <w:t>78.5</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37.8</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21.5</w:t>
            </w:r>
          </w:p>
        </w:tc>
        <w:tc>
          <w:tcPr>
            <w:tcW w:w="12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center"/>
              <w:rPr>
                <w:rFonts w:ascii="Arial" w:hAnsi="Arial" w:cs="Arial"/>
                <w:color w:val="auto"/>
                <w:sz w:val="20"/>
                <w:szCs w:val="20"/>
              </w:rPr>
            </w:pPr>
            <w:r w:rsidRPr="007C7153">
              <w:rPr>
                <w:rFonts w:ascii="Arial" w:hAnsi="Arial" w:cs="Arial"/>
                <w:color w:val="auto"/>
                <w:sz w:val="20"/>
                <w:szCs w:val="20"/>
              </w:rPr>
              <w:t>74.</w:t>
            </w:r>
            <w:r>
              <w:rPr>
                <w:rFonts w:ascii="Arial" w:hAnsi="Arial" w:cs="Arial"/>
                <w:color w:val="auto"/>
                <w:sz w:val="20"/>
                <w:szCs w:val="20"/>
              </w:rPr>
              <w:t>2</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22.0</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17.0</w:t>
            </w:r>
          </w:p>
        </w:tc>
      </w:tr>
      <w:tr w:rsidR="00DF559E" w:rsidRPr="007C7153" w:rsidTr="00DF559E">
        <w:trPr>
          <w:trHeight w:val="255"/>
        </w:trPr>
        <w:tc>
          <w:tcPr>
            <w:tcW w:w="17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right"/>
              <w:rPr>
                <w:rFonts w:ascii="Arial" w:hAnsi="Arial" w:cs="Arial"/>
                <w:color w:val="auto"/>
                <w:sz w:val="20"/>
                <w:szCs w:val="20"/>
              </w:rPr>
            </w:pPr>
            <w:r w:rsidRPr="007C7153">
              <w:rPr>
                <w:rFonts w:ascii="Arial" w:hAnsi="Arial" w:cs="Arial"/>
                <w:color w:val="auto"/>
                <w:sz w:val="20"/>
                <w:szCs w:val="20"/>
              </w:rPr>
              <w:t>West Nile</w:t>
            </w:r>
          </w:p>
        </w:tc>
        <w:tc>
          <w:tcPr>
            <w:tcW w:w="1550" w:type="dxa"/>
            <w:tcBorders>
              <w:top w:val="nil"/>
              <w:left w:val="nil"/>
              <w:bottom w:val="nil"/>
              <w:right w:val="nil"/>
            </w:tcBorders>
            <w:shd w:val="clear" w:color="auto" w:fill="auto"/>
            <w:noWrap/>
            <w:vAlign w:val="center"/>
            <w:hideMark/>
          </w:tcPr>
          <w:p w:rsidR="00DF559E" w:rsidRDefault="00DF559E" w:rsidP="00DF559E">
            <w:pPr>
              <w:spacing w:after="0"/>
              <w:jc w:val="center"/>
              <w:rPr>
                <w:rFonts w:ascii="Arial" w:hAnsi="Arial" w:cs="Arial"/>
                <w:sz w:val="20"/>
                <w:szCs w:val="20"/>
              </w:rPr>
            </w:pPr>
            <w:r>
              <w:rPr>
                <w:rFonts w:ascii="Arial" w:hAnsi="Arial" w:cs="Arial"/>
                <w:sz w:val="20"/>
                <w:szCs w:val="20"/>
              </w:rPr>
              <w:t>49.0</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15.8</w:t>
            </w:r>
          </w:p>
        </w:tc>
        <w:tc>
          <w:tcPr>
            <w:tcW w:w="900" w:type="dxa"/>
            <w:tcBorders>
              <w:top w:val="nil"/>
              <w:left w:val="nil"/>
              <w:bottom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7.0</w:t>
            </w:r>
          </w:p>
        </w:tc>
        <w:tc>
          <w:tcPr>
            <w:tcW w:w="1280" w:type="dxa"/>
            <w:tcBorders>
              <w:top w:val="nil"/>
              <w:left w:val="nil"/>
              <w:bottom w:val="nil"/>
              <w:right w:val="nil"/>
            </w:tcBorders>
            <w:shd w:val="clear" w:color="auto" w:fill="auto"/>
            <w:noWrap/>
            <w:vAlign w:val="center"/>
            <w:hideMark/>
          </w:tcPr>
          <w:p w:rsidR="00DF559E" w:rsidRPr="007C7153" w:rsidRDefault="00DF559E" w:rsidP="00DF559E">
            <w:pPr>
              <w:suppressAutoHyphens w:val="0"/>
              <w:spacing w:after="0"/>
              <w:jc w:val="center"/>
              <w:rPr>
                <w:rFonts w:ascii="Arial" w:hAnsi="Arial" w:cs="Arial"/>
                <w:color w:val="auto"/>
                <w:sz w:val="20"/>
                <w:szCs w:val="20"/>
              </w:rPr>
            </w:pPr>
            <w:r w:rsidRPr="007C7153">
              <w:rPr>
                <w:rFonts w:ascii="Arial" w:hAnsi="Arial" w:cs="Arial"/>
                <w:color w:val="auto"/>
                <w:sz w:val="20"/>
                <w:szCs w:val="20"/>
              </w:rPr>
              <w:t>4</w:t>
            </w:r>
            <w:r>
              <w:rPr>
                <w:rFonts w:ascii="Arial" w:hAnsi="Arial" w:cs="Arial"/>
                <w:color w:val="auto"/>
                <w:sz w:val="20"/>
                <w:szCs w:val="20"/>
              </w:rPr>
              <w:t>2</w:t>
            </w:r>
            <w:r w:rsidRPr="007C7153">
              <w:rPr>
                <w:rFonts w:ascii="Arial" w:hAnsi="Arial" w:cs="Arial"/>
                <w:color w:val="auto"/>
                <w:sz w:val="20"/>
                <w:szCs w:val="20"/>
              </w:rPr>
              <w:t>.</w:t>
            </w:r>
            <w:r>
              <w:rPr>
                <w:rFonts w:ascii="Arial" w:hAnsi="Arial" w:cs="Arial"/>
                <w:color w:val="auto"/>
                <w:sz w:val="20"/>
                <w:szCs w:val="20"/>
              </w:rPr>
              <w:t>3</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21.2</w:t>
            </w:r>
          </w:p>
        </w:tc>
        <w:tc>
          <w:tcPr>
            <w:tcW w:w="844" w:type="dxa"/>
            <w:tcBorders>
              <w:top w:val="nil"/>
              <w:left w:val="nil"/>
              <w:bottom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4.7</w:t>
            </w:r>
          </w:p>
        </w:tc>
      </w:tr>
      <w:tr w:rsidR="00DF559E" w:rsidRPr="007C7153" w:rsidTr="00DF559E">
        <w:trPr>
          <w:trHeight w:val="255"/>
        </w:trPr>
        <w:tc>
          <w:tcPr>
            <w:tcW w:w="1780" w:type="dxa"/>
            <w:tcBorders>
              <w:top w:val="nil"/>
              <w:left w:val="nil"/>
              <w:right w:val="nil"/>
            </w:tcBorders>
            <w:shd w:val="clear" w:color="auto" w:fill="auto"/>
            <w:noWrap/>
            <w:vAlign w:val="center"/>
            <w:hideMark/>
          </w:tcPr>
          <w:p w:rsidR="00DF559E" w:rsidRPr="007C7153" w:rsidRDefault="00DF559E" w:rsidP="00DF559E">
            <w:pPr>
              <w:suppressAutoHyphens w:val="0"/>
              <w:spacing w:after="0"/>
              <w:jc w:val="right"/>
              <w:rPr>
                <w:rFonts w:ascii="Arial" w:hAnsi="Arial" w:cs="Arial"/>
                <w:color w:val="auto"/>
                <w:sz w:val="20"/>
                <w:szCs w:val="20"/>
              </w:rPr>
            </w:pPr>
            <w:r w:rsidRPr="007C7153">
              <w:rPr>
                <w:rFonts w:ascii="Arial" w:hAnsi="Arial" w:cs="Arial"/>
                <w:color w:val="auto"/>
                <w:sz w:val="20"/>
                <w:szCs w:val="20"/>
              </w:rPr>
              <w:t>Mid-West</w:t>
            </w:r>
          </w:p>
        </w:tc>
        <w:tc>
          <w:tcPr>
            <w:tcW w:w="1550" w:type="dxa"/>
            <w:tcBorders>
              <w:top w:val="nil"/>
              <w:left w:val="nil"/>
              <w:right w:val="nil"/>
            </w:tcBorders>
            <w:shd w:val="clear" w:color="auto" w:fill="auto"/>
            <w:noWrap/>
            <w:vAlign w:val="center"/>
            <w:hideMark/>
          </w:tcPr>
          <w:p w:rsidR="00DF559E" w:rsidRDefault="00DF559E" w:rsidP="00DF559E">
            <w:pPr>
              <w:spacing w:after="0"/>
              <w:jc w:val="center"/>
              <w:rPr>
                <w:rFonts w:ascii="Arial" w:hAnsi="Arial" w:cs="Arial"/>
                <w:sz w:val="20"/>
                <w:szCs w:val="20"/>
              </w:rPr>
            </w:pPr>
            <w:r>
              <w:rPr>
                <w:rFonts w:ascii="Arial" w:hAnsi="Arial" w:cs="Arial"/>
                <w:sz w:val="20"/>
                <w:szCs w:val="20"/>
              </w:rPr>
              <w:t>27.4</w:t>
            </w:r>
          </w:p>
        </w:tc>
        <w:tc>
          <w:tcPr>
            <w:tcW w:w="900" w:type="dxa"/>
            <w:tcBorders>
              <w:top w:val="nil"/>
              <w:left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6.6</w:t>
            </w:r>
          </w:p>
        </w:tc>
        <w:tc>
          <w:tcPr>
            <w:tcW w:w="900" w:type="dxa"/>
            <w:tcBorders>
              <w:top w:val="nil"/>
              <w:left w:val="nil"/>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2.4</w:t>
            </w:r>
          </w:p>
        </w:tc>
        <w:tc>
          <w:tcPr>
            <w:tcW w:w="1280" w:type="dxa"/>
            <w:tcBorders>
              <w:top w:val="nil"/>
              <w:left w:val="nil"/>
              <w:right w:val="nil"/>
            </w:tcBorders>
            <w:shd w:val="clear" w:color="auto" w:fill="auto"/>
            <w:noWrap/>
            <w:vAlign w:val="center"/>
            <w:hideMark/>
          </w:tcPr>
          <w:p w:rsidR="00DF559E" w:rsidRPr="007C7153" w:rsidRDefault="00DF559E" w:rsidP="00DF559E">
            <w:pPr>
              <w:suppressAutoHyphens w:val="0"/>
              <w:spacing w:after="0"/>
              <w:jc w:val="center"/>
              <w:rPr>
                <w:rFonts w:ascii="Arial" w:hAnsi="Arial" w:cs="Arial"/>
                <w:color w:val="auto"/>
                <w:sz w:val="20"/>
                <w:szCs w:val="20"/>
              </w:rPr>
            </w:pPr>
            <w:r w:rsidRPr="007C7153">
              <w:rPr>
                <w:rFonts w:ascii="Arial" w:hAnsi="Arial" w:cs="Arial"/>
                <w:color w:val="auto"/>
                <w:sz w:val="20"/>
                <w:szCs w:val="20"/>
              </w:rPr>
              <w:t>9.</w:t>
            </w:r>
            <w:r>
              <w:rPr>
                <w:rFonts w:ascii="Arial" w:hAnsi="Arial" w:cs="Arial"/>
                <w:color w:val="auto"/>
                <w:sz w:val="20"/>
                <w:szCs w:val="20"/>
              </w:rPr>
              <w:t>8</w:t>
            </w:r>
          </w:p>
        </w:tc>
        <w:tc>
          <w:tcPr>
            <w:tcW w:w="844" w:type="dxa"/>
            <w:tcBorders>
              <w:top w:val="nil"/>
              <w:left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13.9</w:t>
            </w:r>
          </w:p>
        </w:tc>
        <w:tc>
          <w:tcPr>
            <w:tcW w:w="844" w:type="dxa"/>
            <w:tcBorders>
              <w:top w:val="nil"/>
              <w:left w:val="nil"/>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0.6</w:t>
            </w:r>
          </w:p>
        </w:tc>
      </w:tr>
      <w:tr w:rsidR="00DF559E" w:rsidRPr="007C7153" w:rsidTr="00DF559E">
        <w:trPr>
          <w:trHeight w:val="255"/>
        </w:trPr>
        <w:tc>
          <w:tcPr>
            <w:tcW w:w="1780" w:type="dxa"/>
            <w:tcBorders>
              <w:top w:val="nil"/>
              <w:left w:val="nil"/>
              <w:bottom w:val="thickThinSmallGap" w:sz="24" w:space="0" w:color="auto"/>
              <w:right w:val="nil"/>
            </w:tcBorders>
            <w:shd w:val="clear" w:color="auto" w:fill="auto"/>
            <w:noWrap/>
            <w:vAlign w:val="center"/>
            <w:hideMark/>
          </w:tcPr>
          <w:p w:rsidR="00DF559E" w:rsidRPr="007C7153" w:rsidRDefault="00DF559E" w:rsidP="00DF559E">
            <w:pPr>
              <w:suppressAutoHyphens w:val="0"/>
              <w:spacing w:after="0"/>
              <w:jc w:val="right"/>
              <w:rPr>
                <w:rFonts w:ascii="Arial" w:hAnsi="Arial" w:cs="Arial"/>
                <w:color w:val="auto"/>
                <w:sz w:val="20"/>
                <w:szCs w:val="20"/>
              </w:rPr>
            </w:pPr>
            <w:r w:rsidRPr="007C7153">
              <w:rPr>
                <w:rFonts w:ascii="Arial" w:hAnsi="Arial" w:cs="Arial"/>
                <w:color w:val="auto"/>
                <w:sz w:val="20"/>
                <w:szCs w:val="20"/>
              </w:rPr>
              <w:t>South-</w:t>
            </w:r>
            <w:r w:rsidR="00757187" w:rsidRPr="007C7153">
              <w:rPr>
                <w:rFonts w:ascii="Arial" w:hAnsi="Arial" w:cs="Arial"/>
                <w:color w:val="auto"/>
                <w:sz w:val="20"/>
                <w:szCs w:val="20"/>
              </w:rPr>
              <w:t>western</w:t>
            </w:r>
          </w:p>
        </w:tc>
        <w:tc>
          <w:tcPr>
            <w:tcW w:w="1550" w:type="dxa"/>
            <w:tcBorders>
              <w:top w:val="nil"/>
              <w:left w:val="nil"/>
              <w:bottom w:val="thickThinSmallGap" w:sz="24" w:space="0" w:color="auto"/>
              <w:right w:val="nil"/>
            </w:tcBorders>
            <w:shd w:val="clear" w:color="auto" w:fill="auto"/>
            <w:noWrap/>
            <w:vAlign w:val="center"/>
            <w:hideMark/>
          </w:tcPr>
          <w:p w:rsidR="00DF559E" w:rsidRDefault="00DF559E" w:rsidP="00DF559E">
            <w:pPr>
              <w:spacing w:after="0"/>
              <w:jc w:val="center"/>
              <w:rPr>
                <w:rFonts w:ascii="Arial" w:hAnsi="Arial" w:cs="Arial"/>
                <w:sz w:val="20"/>
                <w:szCs w:val="20"/>
              </w:rPr>
            </w:pPr>
            <w:r>
              <w:rPr>
                <w:rFonts w:ascii="Arial" w:hAnsi="Arial" w:cs="Arial"/>
                <w:sz w:val="20"/>
                <w:szCs w:val="20"/>
              </w:rPr>
              <w:t>21.2</w:t>
            </w:r>
          </w:p>
        </w:tc>
        <w:tc>
          <w:tcPr>
            <w:tcW w:w="900" w:type="dxa"/>
            <w:tcBorders>
              <w:top w:val="nil"/>
              <w:left w:val="nil"/>
              <w:bottom w:val="thickThinSmallGap" w:sz="24" w:space="0" w:color="auto"/>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4.8</w:t>
            </w:r>
          </w:p>
        </w:tc>
        <w:tc>
          <w:tcPr>
            <w:tcW w:w="900" w:type="dxa"/>
            <w:tcBorders>
              <w:top w:val="nil"/>
              <w:left w:val="nil"/>
              <w:bottom w:val="thickThinSmallGap" w:sz="24" w:space="0" w:color="auto"/>
              <w:right w:val="nil"/>
            </w:tcBorders>
            <w:shd w:val="clear" w:color="auto" w:fill="auto"/>
            <w:noWrap/>
            <w:vAlign w:val="center"/>
          </w:tcPr>
          <w:p w:rsidR="00DF559E" w:rsidRDefault="00DF559E" w:rsidP="00DF559E">
            <w:pPr>
              <w:spacing w:after="0"/>
              <w:jc w:val="center"/>
              <w:rPr>
                <w:rFonts w:ascii="Arial" w:hAnsi="Arial" w:cs="Arial"/>
                <w:sz w:val="20"/>
                <w:szCs w:val="20"/>
              </w:rPr>
            </w:pPr>
            <w:r>
              <w:rPr>
                <w:rFonts w:ascii="Arial" w:hAnsi="Arial" w:cs="Arial"/>
                <w:sz w:val="20"/>
                <w:szCs w:val="20"/>
              </w:rPr>
              <w:t>1.6</w:t>
            </w:r>
          </w:p>
        </w:tc>
        <w:tc>
          <w:tcPr>
            <w:tcW w:w="1280" w:type="dxa"/>
            <w:tcBorders>
              <w:top w:val="nil"/>
              <w:left w:val="nil"/>
              <w:bottom w:val="thickThinSmallGap" w:sz="24" w:space="0" w:color="auto"/>
              <w:right w:val="nil"/>
            </w:tcBorders>
            <w:shd w:val="clear" w:color="auto" w:fill="auto"/>
            <w:noWrap/>
            <w:vAlign w:val="center"/>
            <w:hideMark/>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7.6</w:t>
            </w:r>
          </w:p>
        </w:tc>
        <w:tc>
          <w:tcPr>
            <w:tcW w:w="844" w:type="dxa"/>
            <w:tcBorders>
              <w:top w:val="nil"/>
              <w:left w:val="nil"/>
              <w:bottom w:val="thickThinSmallGap" w:sz="24" w:space="0" w:color="auto"/>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4.6</w:t>
            </w:r>
          </w:p>
        </w:tc>
        <w:tc>
          <w:tcPr>
            <w:tcW w:w="844" w:type="dxa"/>
            <w:tcBorders>
              <w:top w:val="nil"/>
              <w:left w:val="nil"/>
              <w:bottom w:val="thickThinSmallGap" w:sz="24" w:space="0" w:color="auto"/>
              <w:right w:val="nil"/>
            </w:tcBorders>
            <w:vAlign w:val="center"/>
          </w:tcPr>
          <w:p w:rsidR="00DF559E" w:rsidRPr="007C7153" w:rsidRDefault="00DF559E" w:rsidP="00DF559E">
            <w:pPr>
              <w:suppressAutoHyphens w:val="0"/>
              <w:spacing w:after="0"/>
              <w:jc w:val="center"/>
              <w:rPr>
                <w:rFonts w:ascii="Arial" w:hAnsi="Arial" w:cs="Arial"/>
                <w:color w:val="auto"/>
                <w:sz w:val="20"/>
                <w:szCs w:val="20"/>
              </w:rPr>
            </w:pPr>
            <w:r>
              <w:rPr>
                <w:rFonts w:ascii="Arial" w:hAnsi="Arial" w:cs="Arial"/>
                <w:color w:val="auto"/>
                <w:sz w:val="20"/>
                <w:szCs w:val="20"/>
              </w:rPr>
              <w:t>0.4</w:t>
            </w:r>
          </w:p>
        </w:tc>
      </w:tr>
    </w:tbl>
    <w:p w:rsidR="00881BA4" w:rsidRDefault="00881BA4" w:rsidP="00881BA4">
      <w:r>
        <w:t>Source: authors calculations based on the UNHS 2012/13.</w:t>
      </w:r>
    </w:p>
    <w:p w:rsidR="00845EC4" w:rsidRPr="000B1D53" w:rsidRDefault="0047058C">
      <w:r>
        <w:t xml:space="preserve">The regional results are again magnified at the sub-regional level. In the North-East, poverty is extremely high regardless of the poverty line used. </w:t>
      </w:r>
      <w:r w:rsidR="003049E4">
        <w:t xml:space="preserve">In the South-West and Central regions, </w:t>
      </w:r>
      <w:r w:rsidRPr="0047058C">
        <w:t xml:space="preserve">Inequality in the headcounts between sub regions is also much lower when using utility consistent poverty lines as measured by the </w:t>
      </w:r>
      <w:proofErr w:type="spellStart"/>
      <w:r w:rsidRPr="0047058C">
        <w:t>gini</w:t>
      </w:r>
      <w:proofErr w:type="spellEnd"/>
      <w:r w:rsidRPr="0047058C">
        <w:t>.</w:t>
      </w:r>
      <w:r w:rsidR="003049E4">
        <w:t xml:space="preserve"> </w:t>
      </w:r>
    </w:p>
    <w:p w:rsidR="00845EC4" w:rsidRPr="00E8788F" w:rsidRDefault="00C16F6B" w:rsidP="00E8788F">
      <w:pPr>
        <w:rPr>
          <w:b/>
        </w:rPr>
      </w:pPr>
      <w:r w:rsidRPr="00E8788F">
        <w:rPr>
          <w:b/>
        </w:rPr>
        <w:t>Conclusion</w:t>
      </w:r>
    </w:p>
    <w:p w:rsidR="003618D5" w:rsidRDefault="003618D5" w:rsidP="003049E4">
      <w:r>
        <w:lastRenderedPageBreak/>
        <w:t xml:space="preserve">Since the government of </w:t>
      </w:r>
      <w:proofErr w:type="spellStart"/>
      <w:r>
        <w:t>Yoweri</w:t>
      </w:r>
      <w:proofErr w:type="spellEnd"/>
      <w:r>
        <w:t xml:space="preserve"> Museveni took over in 1986, Uganda has seen impressive </w:t>
      </w:r>
      <w:r w:rsidR="0072768D">
        <w:t>economic growth. The growth also seemed to be particularly pro-poor, leading to large reductions in headcount poverty. However, over time, studies have pointed out increasing inequality, with some areas such as the North East lagging in poverty reduction. The government’s market-oriented development policy that was credited for most of the poverty reductions in the nineties did not seem to work for the chronic poor (</w:t>
      </w:r>
      <w:proofErr w:type="spellStart"/>
      <w:r w:rsidR="000E5D66">
        <w:t>Okidi</w:t>
      </w:r>
      <w:proofErr w:type="spellEnd"/>
      <w:r w:rsidR="000E5D66">
        <w:t xml:space="preserve"> and McKay, 2003</w:t>
      </w:r>
      <w:r w:rsidR="0072768D">
        <w:t>).</w:t>
      </w:r>
      <w:r w:rsidR="00757958">
        <w:t xml:space="preserve"> In addition, while </w:t>
      </w:r>
      <w:r w:rsidR="00286049">
        <w:t>alternative welfare measures and qualitative studies point to a stagnation or even regression of wellbeing, official poverty estimates continue their downward trend.</w:t>
      </w:r>
      <w:r w:rsidR="0072768D">
        <w:t xml:space="preserve"> </w:t>
      </w:r>
    </w:p>
    <w:p w:rsidR="00845EC4" w:rsidRDefault="00EB4F7D" w:rsidP="003049E4">
      <w:r>
        <w:t>In</w:t>
      </w:r>
      <w:r w:rsidR="00FD1FF0">
        <w:t xml:space="preserve"> this chapter, we have used the UNHS 20012/13 to estimate a new set of utility consistent poverty lines. The lines, which are differentiated by six </w:t>
      </w:r>
      <w:r w:rsidR="002C75F2">
        <w:t xml:space="preserve">spatial domains result in higher poverty estimates, nationally at around 33 percent, and less differences in poverty between regions. </w:t>
      </w:r>
      <w:r w:rsidR="000B1D53">
        <w:t xml:space="preserve">While </w:t>
      </w:r>
      <w:r w:rsidR="0090155E">
        <w:t xml:space="preserve">the North-East remains the poorest sub-region, higher poverty lines in Kampala and areas that rely on </w:t>
      </w:r>
      <w:proofErr w:type="spellStart"/>
      <w:r w:rsidR="0090155E">
        <w:t>matooke</w:t>
      </w:r>
      <w:proofErr w:type="spellEnd"/>
      <w:r w:rsidR="0090155E">
        <w:t xml:space="preserve"> as their main source of food energy have done less well over time in terms of poverty reduction than official figures suggest.</w:t>
      </w:r>
    </w:p>
    <w:p w:rsidR="00EB4F7D" w:rsidRPr="003049E4" w:rsidRDefault="00EB4F7D" w:rsidP="003049E4">
      <w:r w:rsidRPr="003049E4">
        <w:t xml:space="preserve">We </w:t>
      </w:r>
      <w:r>
        <w:t xml:space="preserve">feel that a poverty line rooted in a basic needs bundle derived from consumption patterns of the poor more than 20 years ago is bound to result in misleading poverty estimates. In addition, the theory of poverty measurement and analysis has progressed since the first poverty estimates, and it is now common to allow for heterogeneity in the underlying consumption bundles to increase specificity.  </w:t>
      </w:r>
      <w:r>
        <w:t>We feel it is high time the Government of Uganda u</w:t>
      </w:r>
      <w:r w:rsidR="00FA3A87">
        <w:t xml:space="preserve">pdates its poverty line. The argument of holding on to the original 1993 poverty line, that is, to ensure comparability for </w:t>
      </w:r>
      <w:proofErr w:type="spellStart"/>
      <w:r w:rsidR="00FA3A87">
        <w:t>intertemporal</w:t>
      </w:r>
      <w:proofErr w:type="spellEnd"/>
      <w:r w:rsidR="00FA3A87">
        <w:t xml:space="preserve"> poverty comparisons, does not make much sense anymore after more than two </w:t>
      </w:r>
      <w:proofErr w:type="gramStart"/>
      <w:r w:rsidR="00FA3A87">
        <w:t>decades</w:t>
      </w:r>
      <w:proofErr w:type="gramEnd"/>
      <w:r w:rsidR="00FA3A87">
        <w:t xml:space="preserve"> of rapid economic growth in a volatile macro-economic environment, including two food price crises.</w:t>
      </w:r>
    </w:p>
    <w:p w:rsidR="00845EC4" w:rsidRPr="00E8788F" w:rsidRDefault="00C16F6B" w:rsidP="00E8788F">
      <w:pPr>
        <w:rPr>
          <w:b/>
        </w:rPr>
      </w:pPr>
      <w:r w:rsidRPr="00E8788F">
        <w:rPr>
          <w:b/>
        </w:rPr>
        <w:t>References</w:t>
      </w:r>
    </w:p>
    <w:p w:rsidR="00845EC4" w:rsidRDefault="00C16F6B">
      <w:r>
        <w:t xml:space="preserve">Appleton, S. (2003). ‘Regional or National Poverty Lines? The Case of Uganda in the 1990s’. </w:t>
      </w:r>
      <w:r>
        <w:rPr>
          <w:i/>
        </w:rPr>
        <w:t>Journal of African Economies</w:t>
      </w:r>
      <w:r>
        <w:t>, 12(4): 598-624.</w:t>
      </w:r>
    </w:p>
    <w:p w:rsidR="00845EC4" w:rsidRDefault="00C16F6B">
      <w:pPr>
        <w:rPr>
          <w:color w:val="000000"/>
        </w:rPr>
      </w:pPr>
      <w:r>
        <w:rPr>
          <w:color w:val="000000"/>
        </w:rPr>
        <w:t xml:space="preserve">Arndt, C. and K.R. </w:t>
      </w:r>
      <w:proofErr w:type="spellStart"/>
      <w:r>
        <w:rPr>
          <w:color w:val="000000"/>
        </w:rPr>
        <w:t>Simler</w:t>
      </w:r>
      <w:proofErr w:type="spellEnd"/>
      <w:r>
        <w:rPr>
          <w:color w:val="000000"/>
        </w:rPr>
        <w:t xml:space="preserve"> (2010). ‘Estimating Utility-Consistent Poverty Lines with Applications to Egypt and Mozambique’. </w:t>
      </w:r>
      <w:r>
        <w:rPr>
          <w:i/>
          <w:color w:val="000000"/>
        </w:rPr>
        <w:t>Economic Development and Cultural Change</w:t>
      </w:r>
      <w:r>
        <w:rPr>
          <w:color w:val="000000"/>
        </w:rPr>
        <w:t>, 58(3): 449-74.</w:t>
      </w:r>
    </w:p>
    <w:p w:rsidR="00185C04" w:rsidRPr="00185C04" w:rsidRDefault="00185C04" w:rsidP="00185C04">
      <w:pPr>
        <w:rPr>
          <w:rFonts w:eastAsia="Droid Sans Fallback"/>
        </w:rPr>
      </w:pPr>
      <w:r w:rsidRPr="00185C04">
        <w:rPr>
          <w:rFonts w:eastAsia="Droid Sans Fallback"/>
        </w:rPr>
        <w:t xml:space="preserve">Benson, T., </w:t>
      </w:r>
      <w:proofErr w:type="spellStart"/>
      <w:r w:rsidRPr="00185C04">
        <w:rPr>
          <w:rFonts w:eastAsia="Droid Sans Fallback"/>
        </w:rPr>
        <w:t>Mugarura</w:t>
      </w:r>
      <w:proofErr w:type="spellEnd"/>
      <w:r w:rsidRPr="00185C04">
        <w:rPr>
          <w:rFonts w:eastAsia="Droid Sans Fallback"/>
        </w:rPr>
        <w:t xml:space="preserve">, S. and Wanda, K. (2008) Impacts in Uganda of rising global food prices: the role of diversified staples and limited price transmission, </w:t>
      </w:r>
      <w:r w:rsidRPr="007F5E5A">
        <w:rPr>
          <w:rFonts w:eastAsia="Droid Sans Fallback"/>
          <w:i/>
        </w:rPr>
        <w:t>Agricultural Economics</w:t>
      </w:r>
      <w:r w:rsidRPr="00185C04">
        <w:rPr>
          <w:rFonts w:eastAsia="Droid Sans Fallback"/>
        </w:rPr>
        <w:t xml:space="preserve"> 39</w:t>
      </w:r>
      <w:r w:rsidR="007F5E5A">
        <w:rPr>
          <w:rFonts w:eastAsia="Droid Sans Fallback"/>
        </w:rPr>
        <w:t>:</w:t>
      </w:r>
      <w:bookmarkStart w:id="0" w:name="_GoBack"/>
      <w:bookmarkEnd w:id="0"/>
      <w:r w:rsidRPr="00185C04">
        <w:rPr>
          <w:rFonts w:eastAsia="Droid Sans Fallback"/>
        </w:rPr>
        <w:t xml:space="preserve"> 513–524</w:t>
      </w:r>
    </w:p>
    <w:p w:rsidR="00845EC4" w:rsidRDefault="00C16F6B">
      <w:r>
        <w:t xml:space="preserve">Daniels, L. and N. Minot (2015). ‘Is Poverty Reduction Over-Stated in Uganda? Evidence from Alternative Poverty Measures’, </w:t>
      </w:r>
      <w:r>
        <w:rPr>
          <w:i/>
        </w:rPr>
        <w:t>Social Indicators Research</w:t>
      </w:r>
      <w:r>
        <w:t>, 212(1): 115-33.</w:t>
      </w:r>
    </w:p>
    <w:p w:rsidR="00D46E59" w:rsidRPr="00D46E59" w:rsidRDefault="00C16F6B" w:rsidP="00D46E59">
      <w:pPr>
        <w:suppressAutoHyphens w:val="0"/>
        <w:spacing w:after="0"/>
        <w:jc w:val="left"/>
        <w:rPr>
          <w:color w:val="auto"/>
        </w:rPr>
      </w:pPr>
      <w:proofErr w:type="spellStart"/>
      <w:r>
        <w:t>Dijkstra</w:t>
      </w:r>
      <w:proofErr w:type="spellEnd"/>
      <w:r>
        <w:t xml:space="preserve"> and van </w:t>
      </w:r>
      <w:proofErr w:type="spellStart"/>
      <w:r>
        <w:t>Donge</w:t>
      </w:r>
      <w:proofErr w:type="spellEnd"/>
      <w:r>
        <w:t xml:space="preserve"> </w:t>
      </w:r>
      <w:r w:rsidR="00D46E59">
        <w:t>(</w:t>
      </w:r>
      <w:r>
        <w:t>2001</w:t>
      </w:r>
      <w:r w:rsidR="00D46E59">
        <w:t>)</w:t>
      </w:r>
      <w:r w:rsidR="00D46E59" w:rsidRPr="00D46E59">
        <w:t xml:space="preserve"> </w:t>
      </w:r>
      <w:r w:rsidR="00D46E59" w:rsidRPr="00D46E59">
        <w:rPr>
          <w:color w:val="auto"/>
        </w:rPr>
        <w:t xml:space="preserve">‘What Does the ‘Show Case’ Show? Evidence of and Lessons </w:t>
      </w:r>
    </w:p>
    <w:p w:rsidR="00845EC4" w:rsidRDefault="00D46E59" w:rsidP="00D46E59">
      <w:pPr>
        <w:suppressAutoHyphens w:val="0"/>
        <w:spacing w:after="0"/>
        <w:jc w:val="left"/>
        <w:rPr>
          <w:color w:val="auto"/>
        </w:rPr>
      </w:pPr>
      <w:proofErr w:type="gramStart"/>
      <w:r w:rsidRPr="00D46E59">
        <w:rPr>
          <w:color w:val="auto"/>
        </w:rPr>
        <w:t>from</w:t>
      </w:r>
      <w:proofErr w:type="gramEnd"/>
      <w:r w:rsidRPr="00D46E59">
        <w:rPr>
          <w:color w:val="auto"/>
        </w:rPr>
        <w:t xml:space="preserve"> Adjustment in Uganda’,</w:t>
      </w:r>
      <w:r>
        <w:rPr>
          <w:color w:val="auto"/>
        </w:rPr>
        <w:t xml:space="preserve"> </w:t>
      </w:r>
      <w:r w:rsidRPr="00D46E59">
        <w:rPr>
          <w:i/>
          <w:color w:val="auto"/>
        </w:rPr>
        <w:t>World Development</w:t>
      </w:r>
      <w:r>
        <w:rPr>
          <w:color w:val="auto"/>
        </w:rPr>
        <w:t xml:space="preserve">, </w:t>
      </w:r>
      <w:r w:rsidRPr="00D46E59">
        <w:rPr>
          <w:color w:val="auto"/>
        </w:rPr>
        <w:t>29</w:t>
      </w:r>
      <w:r>
        <w:rPr>
          <w:color w:val="auto"/>
        </w:rPr>
        <w:t>(</w:t>
      </w:r>
      <w:r w:rsidRPr="00D46E59">
        <w:rPr>
          <w:color w:val="auto"/>
        </w:rPr>
        <w:t>5</w:t>
      </w:r>
      <w:r>
        <w:rPr>
          <w:color w:val="auto"/>
        </w:rPr>
        <w:t>):</w:t>
      </w:r>
      <w:r w:rsidRPr="00D46E59">
        <w:rPr>
          <w:color w:val="auto"/>
        </w:rPr>
        <w:t xml:space="preserve"> 841-864. </w:t>
      </w:r>
    </w:p>
    <w:p w:rsidR="00D46E59" w:rsidRPr="00D46E59" w:rsidRDefault="00D46E59" w:rsidP="00D46E59">
      <w:pPr>
        <w:suppressAutoHyphens w:val="0"/>
        <w:spacing w:after="0"/>
        <w:jc w:val="left"/>
        <w:rPr>
          <w:color w:val="auto"/>
        </w:rPr>
      </w:pPr>
    </w:p>
    <w:p w:rsidR="00845EC4" w:rsidRDefault="00C16F6B">
      <w:proofErr w:type="spellStart"/>
      <w:r>
        <w:t>Duponchelle</w:t>
      </w:r>
      <w:proofErr w:type="spellEnd"/>
      <w:r>
        <w:t xml:space="preserve">, M., McKay, A.  </w:t>
      </w:r>
      <w:proofErr w:type="gramStart"/>
      <w:r>
        <w:t>and</w:t>
      </w:r>
      <w:proofErr w:type="gramEnd"/>
      <w:r>
        <w:t xml:space="preserve"> </w:t>
      </w:r>
      <w:proofErr w:type="spellStart"/>
      <w:r>
        <w:t>Ssewanyana</w:t>
      </w:r>
      <w:proofErr w:type="spellEnd"/>
      <w:r>
        <w:t>, S. (2014).  ‘The dynamics of poverty in Uganda, 2005/6 to 2011/12: Has the progress stalled? Paper presented that the CSAE conference 2015.</w:t>
      </w:r>
    </w:p>
    <w:p w:rsidR="00845EC4" w:rsidRPr="00D46E59" w:rsidRDefault="00C16F6B" w:rsidP="00D46E59">
      <w:proofErr w:type="spellStart"/>
      <w:r w:rsidRPr="00D46E59">
        <w:lastRenderedPageBreak/>
        <w:t>Emwanu</w:t>
      </w:r>
      <w:proofErr w:type="spellEnd"/>
      <w:r w:rsidRPr="00D46E59">
        <w:t xml:space="preserve">, T., </w:t>
      </w:r>
      <w:proofErr w:type="spellStart"/>
      <w:r w:rsidRPr="00D46E59">
        <w:t>Hoogeveen</w:t>
      </w:r>
      <w:proofErr w:type="spellEnd"/>
      <w:r w:rsidRPr="00D46E59">
        <w:t xml:space="preserve">, J and </w:t>
      </w:r>
      <w:proofErr w:type="spellStart"/>
      <w:r w:rsidRPr="00D46E59">
        <w:t>Okwi</w:t>
      </w:r>
      <w:proofErr w:type="spellEnd"/>
      <w:r w:rsidRPr="00D46E59">
        <w:t>, P O, Updating Poverty Maps with Panel Data, World development Volume 34, Issue 12, December 2006, Pages 2076–2088</w:t>
      </w:r>
    </w:p>
    <w:p w:rsidR="00845EC4" w:rsidRDefault="00C16F6B" w:rsidP="00D46E59">
      <w:pPr>
        <w:suppressAutoHyphens w:val="0"/>
        <w:spacing w:after="0"/>
        <w:jc w:val="left"/>
        <w:rPr>
          <w:rFonts w:cs="Calibri"/>
        </w:rPr>
      </w:pPr>
      <w:r>
        <w:rPr>
          <w:rFonts w:cs="Calibri"/>
        </w:rPr>
        <w:t xml:space="preserve">Foster, J., Greer, J. and </w:t>
      </w:r>
      <w:proofErr w:type="spellStart"/>
      <w:r>
        <w:rPr>
          <w:rFonts w:cs="Calibri"/>
        </w:rPr>
        <w:t>Thorbecke</w:t>
      </w:r>
      <w:proofErr w:type="spellEnd"/>
      <w:r>
        <w:rPr>
          <w:rFonts w:cs="Calibri"/>
        </w:rPr>
        <w:t xml:space="preserve">, E. (1984) "A Class of Decomposable Poverty Measures", </w:t>
      </w:r>
      <w:proofErr w:type="spellStart"/>
      <w:r>
        <w:rPr>
          <w:rFonts w:cs="Calibri"/>
          <w:i/>
          <w:iCs/>
        </w:rPr>
        <w:t>Econometrica</w:t>
      </w:r>
      <w:proofErr w:type="spellEnd"/>
      <w:r>
        <w:rPr>
          <w:rFonts w:cs="Calibri"/>
        </w:rPr>
        <w:t>, 52: 761-6.</w:t>
      </w:r>
    </w:p>
    <w:p w:rsidR="00D46E59" w:rsidRPr="00D46E59" w:rsidRDefault="00D46E59" w:rsidP="00D46E59">
      <w:pPr>
        <w:suppressAutoHyphens w:val="0"/>
        <w:spacing w:after="0"/>
        <w:jc w:val="left"/>
        <w:rPr>
          <w:rFonts w:cs="Calibri"/>
        </w:rPr>
      </w:pPr>
    </w:p>
    <w:p w:rsidR="00845EC4" w:rsidRPr="00C457D3" w:rsidRDefault="00C16F6B">
      <w:pPr>
        <w:rPr>
          <w:color w:val="auto"/>
        </w:rPr>
      </w:pPr>
      <w:r w:rsidRPr="00C457D3">
        <w:rPr>
          <w:color w:val="auto"/>
        </w:rPr>
        <w:t xml:space="preserve">Gibson, J. and S. </w:t>
      </w:r>
      <w:proofErr w:type="spellStart"/>
      <w:r w:rsidRPr="00C457D3">
        <w:rPr>
          <w:color w:val="auto"/>
        </w:rPr>
        <w:t>Rozelle</w:t>
      </w:r>
      <w:proofErr w:type="spellEnd"/>
      <w:r w:rsidRPr="00C457D3">
        <w:rPr>
          <w:color w:val="auto"/>
        </w:rPr>
        <w:t xml:space="preserve"> (2003). ‘Poverty and Access to Roads in Papua New Guinea’. </w:t>
      </w:r>
      <w:r w:rsidRPr="00C457D3">
        <w:rPr>
          <w:i/>
          <w:color w:val="auto"/>
        </w:rPr>
        <w:t>Economic Development and Cultural Change</w:t>
      </w:r>
      <w:r w:rsidRPr="00C457D3">
        <w:rPr>
          <w:color w:val="auto"/>
        </w:rPr>
        <w:t>, 52(1): 159-85.</w:t>
      </w:r>
    </w:p>
    <w:p w:rsidR="00845EC4" w:rsidRDefault="00C16F6B">
      <w:r>
        <w:t>Jamal, V. (1998). ‘Changes in Poverty Patterns in Uganda’. In Hansen, H.B. and M. Twaddle (</w:t>
      </w:r>
      <w:proofErr w:type="spellStart"/>
      <w:proofErr w:type="gramStart"/>
      <w:r>
        <w:t>eds</w:t>
      </w:r>
      <w:proofErr w:type="spellEnd"/>
      <w:proofErr w:type="gramEnd"/>
      <w:r>
        <w:t xml:space="preserve">), </w:t>
      </w:r>
      <w:r>
        <w:rPr>
          <w:i/>
        </w:rPr>
        <w:t>Developing Uganda</w:t>
      </w:r>
      <w:r>
        <w:t>.</w:t>
      </w:r>
      <w:r>
        <w:rPr>
          <w:i/>
        </w:rPr>
        <w:t xml:space="preserve"> </w:t>
      </w:r>
      <w:r>
        <w:t>Kampala: Fountain Publishers.</w:t>
      </w:r>
    </w:p>
    <w:p w:rsidR="00845EC4" w:rsidRDefault="00C16F6B">
      <w:proofErr w:type="spellStart"/>
      <w:r>
        <w:t>Kakande</w:t>
      </w:r>
      <w:proofErr w:type="spellEnd"/>
      <w:r>
        <w:t xml:space="preserve">, M. (2010). ‘Poverty Monitoring’. In </w:t>
      </w:r>
      <w:proofErr w:type="spellStart"/>
      <w:r>
        <w:t>Kuteesa</w:t>
      </w:r>
      <w:proofErr w:type="spellEnd"/>
      <w:r>
        <w:t xml:space="preserve">, F., E. </w:t>
      </w:r>
      <w:proofErr w:type="spellStart"/>
      <w:r>
        <w:t>Tumusiime-Mutebile</w:t>
      </w:r>
      <w:proofErr w:type="spellEnd"/>
      <w:r>
        <w:t xml:space="preserve">, A. </w:t>
      </w:r>
      <w:proofErr w:type="spellStart"/>
      <w:r>
        <w:t>Withworth</w:t>
      </w:r>
      <w:proofErr w:type="spellEnd"/>
      <w:r>
        <w:t xml:space="preserve"> and T. Williamson (</w:t>
      </w:r>
      <w:proofErr w:type="spellStart"/>
      <w:proofErr w:type="gramStart"/>
      <w:r>
        <w:t>eds</w:t>
      </w:r>
      <w:proofErr w:type="spellEnd"/>
      <w:proofErr w:type="gramEnd"/>
      <w:r>
        <w:t xml:space="preserve">), </w:t>
      </w:r>
      <w:r>
        <w:rPr>
          <w:i/>
        </w:rPr>
        <w:t>Uganda's Economic Reforms: Insider Accounts</w:t>
      </w:r>
      <w:r>
        <w:t>. Oxford: Oxford University Press.</w:t>
      </w:r>
    </w:p>
    <w:p w:rsidR="00845EC4" w:rsidRPr="00C457D3" w:rsidRDefault="00C16F6B">
      <w:pPr>
        <w:rPr>
          <w:color w:val="auto"/>
        </w:rPr>
      </w:pPr>
      <w:r w:rsidRPr="00C457D3">
        <w:rPr>
          <w:color w:val="auto"/>
        </w:rPr>
        <w:t xml:space="preserve">Lawson, D., A. </w:t>
      </w:r>
      <w:proofErr w:type="spellStart"/>
      <w:r w:rsidRPr="00C457D3">
        <w:rPr>
          <w:color w:val="auto"/>
        </w:rPr>
        <w:t>Mckay</w:t>
      </w:r>
      <w:proofErr w:type="spellEnd"/>
      <w:r w:rsidRPr="00C457D3">
        <w:rPr>
          <w:color w:val="auto"/>
        </w:rPr>
        <w:t xml:space="preserve"> and J. </w:t>
      </w:r>
      <w:proofErr w:type="spellStart"/>
      <w:r w:rsidRPr="00C457D3">
        <w:rPr>
          <w:color w:val="auto"/>
        </w:rPr>
        <w:t>Okidi</w:t>
      </w:r>
      <w:proofErr w:type="spellEnd"/>
      <w:r w:rsidRPr="00C457D3">
        <w:rPr>
          <w:color w:val="auto"/>
        </w:rPr>
        <w:t xml:space="preserve"> (2006). ‘Poverty Persistence and Transitions in Uganda: A Combined Qualitative and Quantitative Analysis’. </w:t>
      </w:r>
      <w:r w:rsidRPr="00C457D3">
        <w:rPr>
          <w:i/>
          <w:color w:val="auto"/>
        </w:rPr>
        <w:t>Journal of Development Studies</w:t>
      </w:r>
      <w:r w:rsidRPr="00C457D3">
        <w:rPr>
          <w:color w:val="auto"/>
        </w:rPr>
        <w:t>, 42(7): 1225-51.</w:t>
      </w:r>
    </w:p>
    <w:p w:rsidR="00845EC4" w:rsidRDefault="00C16F6B">
      <w:r>
        <w:t>Levine, S. (201</w:t>
      </w:r>
      <w:r w:rsidR="00CB06A3">
        <w:t>2</w:t>
      </w:r>
      <w:r>
        <w:t>).  ‘Exploring difference in national and international poverty estimates: Is Uganda on track to halve poverty by 2015'. Social Indicators Research 107(2): 331-349.</w:t>
      </w:r>
    </w:p>
    <w:p w:rsidR="00845EC4" w:rsidRPr="006C3E36" w:rsidRDefault="00C16F6B" w:rsidP="006C3E36">
      <w:r w:rsidRPr="006C3E36">
        <w:t>Mukherjee, S. and T. Benson. (2003). ‘The Determinants of Poverty in Malawi, 1998’. World Development, 31(2): 339-58.</w:t>
      </w:r>
    </w:p>
    <w:p w:rsidR="00845EC4" w:rsidRDefault="00C16F6B">
      <w:pPr>
        <w:rPr>
          <w:color w:val="000000"/>
        </w:rPr>
      </w:pPr>
      <w:proofErr w:type="spellStart"/>
      <w:r>
        <w:rPr>
          <w:color w:val="000000"/>
        </w:rPr>
        <w:t>Okidi</w:t>
      </w:r>
      <w:proofErr w:type="spellEnd"/>
      <w:r>
        <w:rPr>
          <w:color w:val="000000"/>
        </w:rPr>
        <w:t>, J.A. and McKay, A. (2003). 'Poverty Dynamics in Uganda: 1992 to 2000', CPRC Working Paper No 27.</w:t>
      </w:r>
    </w:p>
    <w:p w:rsidR="00845EC4" w:rsidRPr="00932668" w:rsidRDefault="00C16F6B">
      <w:pPr>
        <w:rPr>
          <w:color w:val="auto"/>
        </w:rPr>
      </w:pPr>
      <w:proofErr w:type="spellStart"/>
      <w:r w:rsidRPr="00932668">
        <w:rPr>
          <w:color w:val="auto"/>
        </w:rPr>
        <w:t>Ravallion</w:t>
      </w:r>
      <w:proofErr w:type="spellEnd"/>
      <w:r w:rsidRPr="00932668">
        <w:rPr>
          <w:color w:val="auto"/>
        </w:rPr>
        <w:t>, M. (1998). ‘Poverty Lines in Theory and Practice". Washington DC: World Bank.</w:t>
      </w:r>
    </w:p>
    <w:p w:rsidR="00845EC4" w:rsidRDefault="00C16F6B">
      <w:pPr>
        <w:rPr>
          <w:color w:val="000000"/>
        </w:rPr>
      </w:pPr>
      <w:proofErr w:type="spellStart"/>
      <w:r>
        <w:rPr>
          <w:color w:val="000000"/>
        </w:rPr>
        <w:t>Ravallion</w:t>
      </w:r>
      <w:proofErr w:type="spellEnd"/>
      <w:r>
        <w:rPr>
          <w:color w:val="000000"/>
        </w:rPr>
        <w:t xml:space="preserve">, M. and B. </w:t>
      </w:r>
      <w:proofErr w:type="spellStart"/>
      <w:r>
        <w:rPr>
          <w:color w:val="000000"/>
        </w:rPr>
        <w:t>Bidani</w:t>
      </w:r>
      <w:proofErr w:type="spellEnd"/>
      <w:r>
        <w:rPr>
          <w:color w:val="000000"/>
        </w:rPr>
        <w:t xml:space="preserve"> (1994). ‘How Robust Is a Poverty Profile?</w:t>
      </w:r>
      <w:proofErr w:type="gramStart"/>
      <w:r>
        <w:rPr>
          <w:color w:val="000000"/>
        </w:rPr>
        <w:t>’.</w:t>
      </w:r>
      <w:proofErr w:type="gramEnd"/>
      <w:r>
        <w:rPr>
          <w:color w:val="000000"/>
        </w:rPr>
        <w:t xml:space="preserve"> </w:t>
      </w:r>
      <w:r>
        <w:rPr>
          <w:i/>
          <w:color w:val="000000"/>
        </w:rPr>
        <w:t>World Bank Economic Review</w:t>
      </w:r>
      <w:r>
        <w:rPr>
          <w:color w:val="000000"/>
        </w:rPr>
        <w:t>, 8(1): 75-102.</w:t>
      </w:r>
    </w:p>
    <w:p w:rsidR="00845EC4" w:rsidRDefault="00C16F6B">
      <w:pPr>
        <w:rPr>
          <w:color w:val="000000"/>
        </w:rPr>
      </w:pPr>
      <w:proofErr w:type="spellStart"/>
      <w:r>
        <w:rPr>
          <w:color w:val="000000"/>
        </w:rPr>
        <w:t>Ravallion</w:t>
      </w:r>
      <w:proofErr w:type="spellEnd"/>
      <w:r>
        <w:rPr>
          <w:color w:val="000000"/>
        </w:rPr>
        <w:t xml:space="preserve">, M. and M. </w:t>
      </w:r>
      <w:proofErr w:type="spellStart"/>
      <w:r>
        <w:rPr>
          <w:color w:val="000000"/>
        </w:rPr>
        <w:t>Lokshin</w:t>
      </w:r>
      <w:proofErr w:type="spellEnd"/>
      <w:r>
        <w:rPr>
          <w:color w:val="000000"/>
        </w:rPr>
        <w:t xml:space="preserve"> (2006). ‘Testing Poverty Lines’. </w:t>
      </w:r>
      <w:r>
        <w:rPr>
          <w:i/>
          <w:color w:val="000000"/>
        </w:rPr>
        <w:t>Review of Income and Wealth</w:t>
      </w:r>
      <w:r>
        <w:rPr>
          <w:color w:val="000000"/>
        </w:rPr>
        <w:t>, 52(3): 399-421.</w:t>
      </w:r>
    </w:p>
    <w:p w:rsidR="00845EC4" w:rsidRPr="00C457D3" w:rsidRDefault="00C16F6B">
      <w:pPr>
        <w:rPr>
          <w:color w:val="auto"/>
        </w:rPr>
      </w:pPr>
      <w:proofErr w:type="spellStart"/>
      <w:r w:rsidRPr="00C457D3">
        <w:rPr>
          <w:color w:val="auto"/>
        </w:rPr>
        <w:t>Ssewanyana</w:t>
      </w:r>
      <w:proofErr w:type="spellEnd"/>
      <w:r w:rsidRPr="00C457D3">
        <w:rPr>
          <w:color w:val="auto"/>
        </w:rPr>
        <w:t xml:space="preserve">, S.N. and I. </w:t>
      </w:r>
      <w:proofErr w:type="spellStart"/>
      <w:r w:rsidRPr="00C457D3">
        <w:rPr>
          <w:color w:val="auto"/>
        </w:rPr>
        <w:t>Kasirye</w:t>
      </w:r>
      <w:proofErr w:type="spellEnd"/>
      <w:r w:rsidRPr="00C457D3">
        <w:rPr>
          <w:color w:val="auto"/>
        </w:rPr>
        <w:t xml:space="preserve"> (2010). ‘Food security in Uganda: a dilemma to achieving the millennium development goal’. Research Series 113614. Kampala: Economic Policy Research Centre. </w:t>
      </w:r>
    </w:p>
    <w:p w:rsidR="00845EC4" w:rsidRDefault="00C16F6B">
      <w:proofErr w:type="spellStart"/>
      <w:r>
        <w:t>Ssewanyana</w:t>
      </w:r>
      <w:proofErr w:type="spellEnd"/>
      <w:r>
        <w:t xml:space="preserve">, S.N. and I. </w:t>
      </w:r>
      <w:proofErr w:type="spellStart"/>
      <w:r>
        <w:t>Kasirye</w:t>
      </w:r>
      <w:proofErr w:type="spellEnd"/>
      <w:r>
        <w:t xml:space="preserve"> (2014). ‘Uganda’s progress towards poverty reduction during the last decade 2002/3-2012/13: Is the gap between leading and lagging areas widening or narrowing? EPRC research series No. 118.</w:t>
      </w:r>
    </w:p>
    <w:p w:rsidR="00845EC4" w:rsidRPr="00B55AFF" w:rsidRDefault="00C16F6B" w:rsidP="00B55AFF">
      <w:r w:rsidRPr="00B55AFF">
        <w:t xml:space="preserve">Tarp, F., K.R. </w:t>
      </w:r>
      <w:proofErr w:type="spellStart"/>
      <w:r w:rsidRPr="00B55AFF">
        <w:t>Simler</w:t>
      </w:r>
      <w:proofErr w:type="spellEnd"/>
      <w:r w:rsidRPr="00B55AFF">
        <w:t xml:space="preserve">, C. </w:t>
      </w:r>
      <w:proofErr w:type="spellStart"/>
      <w:r w:rsidRPr="00B55AFF">
        <w:t>Matusse</w:t>
      </w:r>
      <w:proofErr w:type="spellEnd"/>
      <w:r w:rsidRPr="00B55AFF">
        <w:t xml:space="preserve">, R. </w:t>
      </w:r>
      <w:proofErr w:type="spellStart"/>
      <w:r w:rsidRPr="00B55AFF">
        <w:t>Heltberg</w:t>
      </w:r>
      <w:proofErr w:type="spellEnd"/>
      <w:r w:rsidRPr="00B55AFF">
        <w:t xml:space="preserve"> and G. </w:t>
      </w:r>
      <w:proofErr w:type="spellStart"/>
      <w:r w:rsidRPr="00B55AFF">
        <w:t>Dava</w:t>
      </w:r>
      <w:proofErr w:type="spellEnd"/>
      <w:r w:rsidRPr="00B55AFF">
        <w:t xml:space="preserve"> (2002). ‘The Robustness of Poverty Profiles Reconsidered’. Economic Development and Cultural Change, 51(1): 77-108.</w:t>
      </w:r>
    </w:p>
    <w:p w:rsidR="00CB06A3" w:rsidRDefault="00CB06A3">
      <w:pPr>
        <w:rPr>
          <w:color w:val="auto"/>
        </w:rPr>
      </w:pPr>
      <w:r>
        <w:rPr>
          <w:color w:val="auto"/>
        </w:rPr>
        <w:lastRenderedPageBreak/>
        <w:t>Uganda Bureau of Statistics (2010).</w:t>
      </w:r>
      <w:r w:rsidRPr="00CB06A3">
        <w:rPr>
          <w:color w:val="auto"/>
        </w:rPr>
        <w:t xml:space="preserve"> Uganda National Household Survey</w:t>
      </w:r>
      <w:r>
        <w:rPr>
          <w:color w:val="auto"/>
        </w:rPr>
        <w:t xml:space="preserve"> 2009/10, Kampala, Uganda, UBOS.</w:t>
      </w:r>
    </w:p>
    <w:p w:rsidR="00C16F6B" w:rsidRPr="00CB06A3" w:rsidRDefault="00C16F6B">
      <w:pPr>
        <w:rPr>
          <w:color w:val="auto"/>
        </w:rPr>
      </w:pPr>
      <w:r w:rsidRPr="00CB06A3">
        <w:rPr>
          <w:color w:val="auto"/>
        </w:rPr>
        <w:t>Uganda Bureau of Statistics (</w:t>
      </w:r>
      <w:r w:rsidR="00CB06A3" w:rsidRPr="00CB06A3">
        <w:rPr>
          <w:color w:val="auto"/>
        </w:rPr>
        <w:t>2014</w:t>
      </w:r>
      <w:r w:rsidRPr="00CB06A3">
        <w:rPr>
          <w:color w:val="auto"/>
        </w:rPr>
        <w:t>)</w:t>
      </w:r>
      <w:r w:rsidR="00CB06A3" w:rsidRPr="00CB06A3">
        <w:rPr>
          <w:color w:val="auto"/>
        </w:rPr>
        <w:t>. Uganda National Household Survey</w:t>
      </w:r>
      <w:r w:rsidR="00CB06A3">
        <w:rPr>
          <w:color w:val="auto"/>
        </w:rPr>
        <w:t xml:space="preserve"> 2012/13, Kampala, Uganda, UBOS.</w:t>
      </w:r>
    </w:p>
    <w:p w:rsidR="00F4633A" w:rsidRDefault="00F4633A">
      <w:r w:rsidRPr="00F4633A">
        <w:t>World Health Organization</w:t>
      </w:r>
      <w:r>
        <w:t xml:space="preserve"> </w:t>
      </w:r>
      <w:r w:rsidR="00765AE2">
        <w:t>(</w:t>
      </w:r>
      <w:r>
        <w:t>1985</w:t>
      </w:r>
      <w:r w:rsidR="00765AE2">
        <w:t>). ‘Energy and Protein Requirements’,</w:t>
      </w:r>
      <w:r>
        <w:rPr>
          <w:color w:val="FF0000"/>
        </w:rPr>
        <w:t xml:space="preserve"> </w:t>
      </w:r>
      <w:r>
        <w:t>World Health Organization Technical Report Series 724</w:t>
      </w:r>
      <w:r w:rsidR="00765AE2">
        <w:t>.</w:t>
      </w:r>
    </w:p>
    <w:p w:rsidR="00845EC4" w:rsidRDefault="00845EC4"/>
    <w:sectPr w:rsidR="00845EC4">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C84" w:rsidRDefault="00851C84">
      <w:pPr>
        <w:spacing w:after="0"/>
      </w:pPr>
      <w:r>
        <w:separator/>
      </w:r>
    </w:p>
  </w:endnote>
  <w:endnote w:type="continuationSeparator" w:id="0">
    <w:p w:rsidR="00851C84" w:rsidRDefault="00851C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F31">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C84" w:rsidRDefault="00851C84">
      <w:r>
        <w:separator/>
      </w:r>
    </w:p>
  </w:footnote>
  <w:footnote w:type="continuationSeparator" w:id="0">
    <w:p w:rsidR="00851C84" w:rsidRDefault="00851C84">
      <w:r>
        <w:continuationSeparator/>
      </w:r>
    </w:p>
  </w:footnote>
  <w:footnote w:id="1">
    <w:p w:rsidR="00001B75" w:rsidRDefault="00001B75">
      <w:pPr>
        <w:pStyle w:val="FootnoteText"/>
      </w:pPr>
      <w:r>
        <w:rPr>
          <w:rStyle w:val="FootnoteReference"/>
        </w:rPr>
        <w:footnoteRef/>
      </w:r>
      <w:r>
        <w:t xml:space="preserve"> </w:t>
      </w:r>
      <w:proofErr w:type="spellStart"/>
      <w:r>
        <w:rPr>
          <w:rFonts w:ascii="F31" w:eastAsia="Droid Sans Fallback" w:hAnsi="F31" w:cs="F31"/>
          <w:color w:val="auto"/>
        </w:rPr>
        <w:t>Matooke</w:t>
      </w:r>
      <w:proofErr w:type="spellEnd"/>
      <w:r>
        <w:rPr>
          <w:rFonts w:ascii="F31" w:eastAsia="Droid Sans Fallback" w:hAnsi="F31" w:cs="F31"/>
          <w:color w:val="auto"/>
        </w:rPr>
        <w:t xml:space="preserve"> is a variety of starchy banana, commonly referred to as cooking bananas. </w:t>
      </w:r>
    </w:p>
  </w:footnote>
  <w:footnote w:id="2">
    <w:p w:rsidR="00001B75" w:rsidRDefault="00001B75">
      <w:pPr>
        <w:pStyle w:val="Footnote"/>
      </w:pPr>
      <w:r>
        <w:rPr>
          <w:rStyle w:val="FootnoteReference"/>
        </w:rPr>
        <w:footnoteRef/>
      </w:r>
      <w:r>
        <w:rPr>
          <w:rStyle w:val="FootnoteReference"/>
        </w:rPr>
        <w:tab/>
      </w:r>
      <w:r>
        <w:t xml:space="preserve"> The data should be requested in writing from the director of the Uganda Bureau of Statistics. However, a reference to the content of the file is available on the website of the international household survey network: http://catalog.ihsn.org/index.php/catalog/4620/datafile/F18</w:t>
      </w:r>
    </w:p>
  </w:footnote>
  <w:footnote w:id="3">
    <w:p w:rsidR="00001B75" w:rsidRDefault="00001B75">
      <w:pPr>
        <w:pStyle w:val="Footnote"/>
      </w:pPr>
      <w:r>
        <w:rPr>
          <w:rStyle w:val="FootnoteReference"/>
        </w:rPr>
        <w:footnoteRef/>
      </w:r>
      <w:r>
        <w:rPr>
          <w:rStyle w:val="FootnoteReference"/>
        </w:rPr>
        <w:tab/>
      </w:r>
      <w:r>
        <w:t xml:space="preserve"> Such as for instance the file </w:t>
      </w:r>
      <w:proofErr w:type="spellStart"/>
      <w:r>
        <w:t>kwelfare.dta</w:t>
      </w:r>
      <w:proofErr w:type="spellEnd"/>
      <w:r>
        <w:t xml:space="preserve"> that holds information to calculate poverty in the UNHS2009/10. The reference is http://catalog.ihsn.org/index.php/catalog/2119/data_dictionary#page=F21&amp;tab=data-dictionary</w:t>
      </w:r>
    </w:p>
  </w:footnote>
  <w:footnote w:id="4">
    <w:p w:rsidR="00001B75" w:rsidRDefault="00001B75">
      <w:pPr>
        <w:pStyle w:val="Footnote"/>
      </w:pPr>
      <w:r>
        <w:footnoteRef/>
      </w:r>
      <w:r w:rsidR="00D46E59">
        <w:t xml:space="preserve"> </w:t>
      </w:r>
      <w:r>
        <w:t>While intermediate variables mention per capita, working papers and articles that document the construction of the official Ugandan welfare measure such as Appleton (1999) and Levine (2012) state that private household consumption is scaled by calorific equivalence scales.</w:t>
      </w:r>
    </w:p>
  </w:footnote>
  <w:footnote w:id="5">
    <w:p w:rsidR="00001B75" w:rsidRDefault="00001B75">
      <w:pPr>
        <w:pStyle w:val="FootnoteText"/>
      </w:pPr>
      <w:r>
        <w:rPr>
          <w:rStyle w:val="FootnoteReference"/>
        </w:rPr>
        <w:footnoteRef/>
      </w:r>
      <w:r>
        <w:t xml:space="preserve"> The likelihood of being pregnant is estimated using fertility rates in Uganda.</w:t>
      </w:r>
    </w:p>
  </w:footnote>
  <w:footnote w:id="6">
    <w:p w:rsidR="00001B75" w:rsidRDefault="00001B75" w:rsidP="009A0D9E">
      <w:pPr>
        <w:pStyle w:val="Footnote"/>
      </w:pPr>
      <w:r>
        <w:rPr>
          <w:rStyle w:val="FootnoteReference"/>
        </w:rPr>
        <w:footnoteRef/>
      </w:r>
      <w:r>
        <w:rPr>
          <w:rStyle w:val="FootnoteReference"/>
        </w:rPr>
        <w:tab/>
      </w:r>
      <w:r>
        <w:t xml:space="preserve"> A poverty measure is consistent if two individuals at the same welfare level are considered equally poor.</w:t>
      </w:r>
    </w:p>
  </w:footnote>
  <w:footnote w:id="7">
    <w:p w:rsidR="00001B75" w:rsidRDefault="00001B75">
      <w:pPr>
        <w:pStyle w:val="FootnoteText"/>
      </w:pPr>
      <w:r>
        <w:rPr>
          <w:rStyle w:val="FootnoteReference"/>
        </w:rPr>
        <w:footnoteRef/>
      </w:r>
      <w:r>
        <w:t xml:space="preserve"> Which, as it happens, is also the lowest among the 6 spatial domains according to Table 2. However, the differences with other spatial domains are small and unlikely to be the main driver of the large differences found in the poverty lines.</w:t>
      </w:r>
    </w:p>
  </w:footnote>
  <w:footnote w:id="8">
    <w:p w:rsidR="00306BE1" w:rsidRDefault="00306BE1">
      <w:pPr>
        <w:pStyle w:val="FootnoteText"/>
      </w:pPr>
      <w:r>
        <w:rPr>
          <w:rStyle w:val="FootnoteReference"/>
        </w:rPr>
        <w:footnoteRef/>
      </w:r>
      <w:r>
        <w:t xml:space="preserve"> But pretty close to the estimates using the 1.25 dollar a day international poverty line as reported by the World Bank of 37.8 percent.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B12DD1"/>
    <w:multiLevelType w:val="multilevel"/>
    <w:tmpl w:val="EB9C82D8"/>
    <w:lvl w:ilvl="0">
      <w:start w:val="1"/>
      <w:numFmt w:val="upperRoman"/>
      <w:lvlText w:val="%1."/>
      <w:lvlJc w:val="left"/>
      <w:pPr>
        <w:ind w:left="1080" w:hanging="72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E677C97"/>
    <w:multiLevelType w:val="multilevel"/>
    <w:tmpl w:val="EAE84E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45EC4"/>
    <w:rsid w:val="00001B75"/>
    <w:rsid w:val="0004154A"/>
    <w:rsid w:val="00091926"/>
    <w:rsid w:val="000968BB"/>
    <w:rsid w:val="000A4331"/>
    <w:rsid w:val="000B1D53"/>
    <w:rsid w:val="000D1960"/>
    <w:rsid w:val="000E5D66"/>
    <w:rsid w:val="00182D79"/>
    <w:rsid w:val="00185C04"/>
    <w:rsid w:val="001C63D1"/>
    <w:rsid w:val="001D7463"/>
    <w:rsid w:val="00200AF2"/>
    <w:rsid w:val="00245C85"/>
    <w:rsid w:val="00286049"/>
    <w:rsid w:val="00290B0A"/>
    <w:rsid w:val="002B716F"/>
    <w:rsid w:val="002C75F2"/>
    <w:rsid w:val="003049E4"/>
    <w:rsid w:val="00306BE1"/>
    <w:rsid w:val="00351B11"/>
    <w:rsid w:val="00352E1B"/>
    <w:rsid w:val="003618D5"/>
    <w:rsid w:val="003B79D2"/>
    <w:rsid w:val="00451B2D"/>
    <w:rsid w:val="0047058C"/>
    <w:rsid w:val="0047570C"/>
    <w:rsid w:val="004A2ADA"/>
    <w:rsid w:val="004B2D6A"/>
    <w:rsid w:val="004C1E71"/>
    <w:rsid w:val="004E3175"/>
    <w:rsid w:val="00504F6A"/>
    <w:rsid w:val="0051012D"/>
    <w:rsid w:val="005478BD"/>
    <w:rsid w:val="00560C42"/>
    <w:rsid w:val="005A4DF9"/>
    <w:rsid w:val="005C507B"/>
    <w:rsid w:val="006076AF"/>
    <w:rsid w:val="00626786"/>
    <w:rsid w:val="006479AA"/>
    <w:rsid w:val="00690FFC"/>
    <w:rsid w:val="006C3E36"/>
    <w:rsid w:val="006E3149"/>
    <w:rsid w:val="006F505B"/>
    <w:rsid w:val="00717FE2"/>
    <w:rsid w:val="0072768D"/>
    <w:rsid w:val="0075619B"/>
    <w:rsid w:val="00757187"/>
    <w:rsid w:val="00757958"/>
    <w:rsid w:val="00765AE2"/>
    <w:rsid w:val="00774875"/>
    <w:rsid w:val="00787BFE"/>
    <w:rsid w:val="007C7153"/>
    <w:rsid w:val="007F5E5A"/>
    <w:rsid w:val="00817404"/>
    <w:rsid w:val="0083502F"/>
    <w:rsid w:val="00845EC4"/>
    <w:rsid w:val="00851C84"/>
    <w:rsid w:val="00857028"/>
    <w:rsid w:val="008754B4"/>
    <w:rsid w:val="00881BA4"/>
    <w:rsid w:val="00882EFC"/>
    <w:rsid w:val="00896469"/>
    <w:rsid w:val="008D6F52"/>
    <w:rsid w:val="0090155E"/>
    <w:rsid w:val="009300D0"/>
    <w:rsid w:val="00932668"/>
    <w:rsid w:val="00986507"/>
    <w:rsid w:val="009A0D9E"/>
    <w:rsid w:val="009E5155"/>
    <w:rsid w:val="00A358FE"/>
    <w:rsid w:val="00A419C7"/>
    <w:rsid w:val="00A71ED0"/>
    <w:rsid w:val="00AB22A8"/>
    <w:rsid w:val="00AE260E"/>
    <w:rsid w:val="00AF777D"/>
    <w:rsid w:val="00B0259C"/>
    <w:rsid w:val="00B02B6A"/>
    <w:rsid w:val="00B10C5E"/>
    <w:rsid w:val="00B138AB"/>
    <w:rsid w:val="00B35772"/>
    <w:rsid w:val="00B55AFF"/>
    <w:rsid w:val="00B74E80"/>
    <w:rsid w:val="00C16F6B"/>
    <w:rsid w:val="00C43181"/>
    <w:rsid w:val="00C457D3"/>
    <w:rsid w:val="00C77123"/>
    <w:rsid w:val="00CB06A3"/>
    <w:rsid w:val="00CF3BDC"/>
    <w:rsid w:val="00D04625"/>
    <w:rsid w:val="00D46E59"/>
    <w:rsid w:val="00D73A0D"/>
    <w:rsid w:val="00DB0DB7"/>
    <w:rsid w:val="00DF559E"/>
    <w:rsid w:val="00E479CB"/>
    <w:rsid w:val="00E8788F"/>
    <w:rsid w:val="00E92F95"/>
    <w:rsid w:val="00EB1EB0"/>
    <w:rsid w:val="00EB4F7D"/>
    <w:rsid w:val="00F0687A"/>
    <w:rsid w:val="00F4633A"/>
    <w:rsid w:val="00F777E7"/>
    <w:rsid w:val="00FA1D2B"/>
    <w:rsid w:val="00FA3A87"/>
    <w:rsid w:val="00FC05D8"/>
    <w:rsid w:val="00FD1FF0"/>
    <w:rsid w:val="00FD4782"/>
    <w:rsid w:val="00FE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23D39F-21BE-46EA-9305-533AAC77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56B"/>
    <w:pPr>
      <w:suppressAutoHyphens/>
      <w:spacing w:after="240" w:line="240" w:lineRule="auto"/>
      <w:jc w:val="both"/>
    </w:pPr>
    <w:rPr>
      <w:rFonts w:ascii="Times New Roman" w:eastAsia="Times New Roman" w:hAnsi="Times New Roman" w:cs="Times New Roman"/>
      <w:color w:val="00000A"/>
      <w:sz w:val="24"/>
      <w:szCs w:val="24"/>
    </w:rPr>
  </w:style>
  <w:style w:type="paragraph" w:styleId="Heading1">
    <w:name w:val="heading 1"/>
    <w:basedOn w:val="Normal"/>
    <w:next w:val="Normal"/>
    <w:link w:val="Heading1Char"/>
    <w:autoRedefine/>
    <w:uiPriority w:val="9"/>
    <w:qFormat/>
    <w:rsid w:val="00E8788F"/>
    <w:pPr>
      <w:keepNext/>
      <w:keepLines/>
      <w:suppressAutoHyphens w:val="0"/>
      <w:spacing w:before="480" w:after="480" w:line="480" w:lineRule="auto"/>
      <w:jc w:val="left"/>
      <w:outlineLvl w:val="0"/>
    </w:pPr>
    <w:rPr>
      <w:b/>
      <w:color w:val="FF0000"/>
      <w:szCs w:val="32"/>
    </w:rPr>
  </w:style>
  <w:style w:type="paragraph" w:styleId="Heading2">
    <w:name w:val="heading 2"/>
    <w:basedOn w:val="Normal"/>
    <w:next w:val="Normal"/>
    <w:link w:val="Heading2Char"/>
    <w:uiPriority w:val="9"/>
    <w:unhideWhenUsed/>
    <w:qFormat/>
    <w:rsid w:val="00F7356B"/>
    <w:pPr>
      <w:keepNext/>
      <w:keepLines/>
      <w:suppressAutoHyphens w:val="0"/>
      <w:spacing w:before="240" w:line="480" w:lineRule="auto"/>
      <w:jc w:val="left"/>
      <w:outlineLvl w:val="1"/>
    </w:pPr>
    <w:rPr>
      <w:b/>
      <w:bCs/>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88F"/>
    <w:rPr>
      <w:rFonts w:ascii="Times New Roman" w:eastAsia="Times New Roman" w:hAnsi="Times New Roman" w:cs="Times New Roman"/>
      <w:b/>
      <w:color w:val="FF0000"/>
      <w:sz w:val="24"/>
      <w:szCs w:val="32"/>
    </w:rPr>
  </w:style>
  <w:style w:type="character" w:customStyle="1" w:styleId="Heading2Char">
    <w:name w:val="Heading 2 Char"/>
    <w:basedOn w:val="DefaultParagraphFont"/>
    <w:link w:val="Heading2"/>
    <w:uiPriority w:val="9"/>
    <w:rsid w:val="00F7356B"/>
    <w:rPr>
      <w:rFonts w:ascii="Times New Roman" w:hAnsi="Times New Roman"/>
      <w:b/>
      <w:bCs/>
      <w:sz w:val="24"/>
      <w:szCs w:val="26"/>
    </w:rPr>
  </w:style>
  <w:style w:type="character" w:customStyle="1" w:styleId="FootnoteTextChar">
    <w:name w:val="Footnote Text Char"/>
    <w:basedOn w:val="DefaultParagraphFont"/>
    <w:link w:val="FootnoteText"/>
    <w:uiPriority w:val="99"/>
    <w:semiHidden/>
    <w:rsid w:val="00F7356B"/>
    <w:rPr>
      <w:rFonts w:ascii="Times New Roman" w:hAnsi="Times New Roman"/>
      <w:sz w:val="20"/>
      <w:szCs w:val="20"/>
    </w:rPr>
  </w:style>
  <w:style w:type="character" w:customStyle="1" w:styleId="Style1Char">
    <w:name w:val="Style1 Char"/>
    <w:basedOn w:val="Heading1Char"/>
    <w:link w:val="Style1"/>
    <w:rsid w:val="00F7356B"/>
    <w:rPr>
      <w:rFonts w:ascii="Times New Roman" w:eastAsia="Times New Roman" w:hAnsi="Times New Roman" w:cs="Times New Roman"/>
      <w:b w:val="0"/>
      <w:color w:val="000000"/>
      <w:sz w:val="24"/>
      <w:szCs w:val="32"/>
    </w:rPr>
  </w:style>
  <w:style w:type="character" w:styleId="FootnoteReference">
    <w:name w:val="footnote reference"/>
    <w:basedOn w:val="DefaultParagraphFont"/>
    <w:uiPriority w:val="99"/>
    <w:semiHidden/>
    <w:unhideWhenUsed/>
    <w:rsid w:val="00F7356B"/>
    <w:rPr>
      <w:vertAlign w:val="superscript"/>
    </w:rPr>
  </w:style>
  <w:style w:type="character" w:customStyle="1" w:styleId="Style2Char">
    <w:name w:val="Style2 Char"/>
    <w:basedOn w:val="Style1Char"/>
    <w:link w:val="Style2"/>
    <w:rsid w:val="00F7356B"/>
    <w:rPr>
      <w:rFonts w:ascii="Times New Roman" w:eastAsia="Times New Roman" w:hAnsi="Times New Roman" w:cs="Times New Roman"/>
      <w:b/>
      <w:color w:val="000000"/>
      <w:sz w:val="24"/>
      <w:szCs w:val="32"/>
    </w:rPr>
  </w:style>
  <w:style w:type="character" w:styleId="CommentReference">
    <w:name w:val="annotation reference"/>
    <w:basedOn w:val="DefaultParagraphFont"/>
    <w:uiPriority w:val="99"/>
    <w:semiHidden/>
    <w:unhideWhenUsed/>
    <w:rsid w:val="00F7356B"/>
    <w:rPr>
      <w:sz w:val="16"/>
      <w:szCs w:val="16"/>
    </w:rPr>
  </w:style>
  <w:style w:type="character" w:customStyle="1" w:styleId="CommentTextChar">
    <w:name w:val="Comment Text Char"/>
    <w:basedOn w:val="DefaultParagraphFont"/>
    <w:link w:val="CommentText"/>
    <w:uiPriority w:val="99"/>
    <w:semiHidden/>
    <w:rsid w:val="00F7356B"/>
    <w:rPr>
      <w:rFonts w:ascii="Times New Roman" w:hAnsi="Times New Roman"/>
      <w:sz w:val="20"/>
      <w:szCs w:val="20"/>
    </w:rPr>
  </w:style>
  <w:style w:type="character" w:customStyle="1" w:styleId="BalloonTextChar">
    <w:name w:val="Balloon Text Char"/>
    <w:basedOn w:val="DefaultParagraphFont"/>
    <w:link w:val="BalloonText"/>
    <w:uiPriority w:val="99"/>
    <w:semiHidden/>
    <w:rsid w:val="00F7356B"/>
    <w:rPr>
      <w:rFonts w:ascii="Segoe UI" w:eastAsia="Times New Roman" w:hAnsi="Segoe UI" w:cs="Segoe UI"/>
      <w:sz w:val="18"/>
      <w:szCs w:val="18"/>
    </w:rPr>
  </w:style>
  <w:style w:type="character" w:customStyle="1" w:styleId="InternetLink">
    <w:name w:val="Internet Link"/>
    <w:basedOn w:val="DefaultParagraphFont"/>
    <w:uiPriority w:val="99"/>
    <w:semiHidden/>
    <w:unhideWhenUsed/>
    <w:rsid w:val="00B30D2B"/>
    <w:rPr>
      <w:color w:val="0000FF"/>
      <w:u w:val="single"/>
    </w:rPr>
  </w:style>
  <w:style w:type="character" w:customStyle="1" w:styleId="ListLabel1">
    <w:name w:val="ListLabel 1"/>
    <w:rPr>
      <w:sz w:val="20"/>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F7356B"/>
    <w:pPr>
      <w:spacing w:before="480"/>
      <w:ind w:left="720"/>
      <w:contextualSpacing/>
    </w:pPr>
  </w:style>
  <w:style w:type="paragraph" w:customStyle="1" w:styleId="Style1">
    <w:name w:val="Style1"/>
    <w:basedOn w:val="Heading1"/>
    <w:link w:val="Style1Char"/>
    <w:qFormat/>
    <w:rsid w:val="00F7356B"/>
    <w:pPr>
      <w:spacing w:after="240"/>
    </w:pPr>
    <w:rPr>
      <w:b w:val="0"/>
    </w:rPr>
  </w:style>
  <w:style w:type="paragraph" w:styleId="FootnoteText">
    <w:name w:val="footnote text"/>
    <w:basedOn w:val="Normal"/>
    <w:link w:val="FootnoteTextChar"/>
    <w:uiPriority w:val="99"/>
    <w:semiHidden/>
    <w:unhideWhenUsed/>
    <w:rsid w:val="00F7356B"/>
    <w:pPr>
      <w:suppressAutoHyphens w:val="0"/>
      <w:spacing w:after="0"/>
      <w:jc w:val="left"/>
    </w:pPr>
    <w:rPr>
      <w:rFonts w:cs="Calibri"/>
      <w:sz w:val="20"/>
      <w:szCs w:val="20"/>
    </w:rPr>
  </w:style>
  <w:style w:type="paragraph" w:customStyle="1" w:styleId="Style2">
    <w:name w:val="Style2"/>
    <w:basedOn w:val="Style1"/>
    <w:link w:val="Style2Char"/>
    <w:qFormat/>
    <w:rsid w:val="00F7356B"/>
    <w:pPr>
      <w:spacing w:before="240"/>
      <w:ind w:left="357"/>
    </w:pPr>
    <w:rPr>
      <w:b/>
    </w:rPr>
  </w:style>
  <w:style w:type="paragraph" w:styleId="CommentText">
    <w:name w:val="annotation text"/>
    <w:basedOn w:val="Normal"/>
    <w:link w:val="CommentTextChar"/>
    <w:uiPriority w:val="99"/>
    <w:semiHidden/>
    <w:unhideWhenUsed/>
    <w:rsid w:val="00F7356B"/>
    <w:pPr>
      <w:suppressAutoHyphens w:val="0"/>
      <w:jc w:val="left"/>
    </w:pPr>
    <w:rPr>
      <w:rFonts w:cs="Calibri"/>
      <w:sz w:val="20"/>
      <w:szCs w:val="20"/>
    </w:rPr>
  </w:style>
  <w:style w:type="paragraph" w:styleId="BalloonText">
    <w:name w:val="Balloon Text"/>
    <w:basedOn w:val="Normal"/>
    <w:link w:val="BalloonTextChar"/>
    <w:uiPriority w:val="99"/>
    <w:semiHidden/>
    <w:unhideWhenUsed/>
    <w:rsid w:val="00F7356B"/>
    <w:pPr>
      <w:spacing w:after="0"/>
    </w:pPr>
    <w:rPr>
      <w:rFonts w:ascii="Segoe UI" w:hAnsi="Segoe UI" w:cs="Segoe UI"/>
      <w:sz w:val="18"/>
      <w:szCs w:val="18"/>
    </w:rPr>
  </w:style>
  <w:style w:type="paragraph" w:styleId="NoSpacing">
    <w:name w:val="No Spacing"/>
    <w:uiPriority w:val="1"/>
    <w:qFormat/>
    <w:rsid w:val="004845A9"/>
    <w:pPr>
      <w:suppressAutoHyphens/>
      <w:spacing w:line="240" w:lineRule="auto"/>
      <w:jc w:val="both"/>
    </w:pPr>
    <w:rPr>
      <w:rFonts w:ascii="Times New Roman" w:eastAsia="Times New Roman" w:hAnsi="Times New Roman" w:cs="Times New Roman"/>
      <w:color w:val="00000A"/>
      <w:sz w:val="24"/>
      <w:szCs w:val="24"/>
    </w:rPr>
  </w:style>
  <w:style w:type="paragraph" w:customStyle="1" w:styleId="Footnote">
    <w:name w:val="Footnote"/>
    <w:basedOn w:val="Normal"/>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character" w:styleId="Hyperlink">
    <w:name w:val="Hyperlink"/>
    <w:basedOn w:val="DefaultParagraphFont"/>
    <w:uiPriority w:val="99"/>
    <w:unhideWhenUsed/>
    <w:rsid w:val="00D73A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07231">
      <w:bodyDiv w:val="1"/>
      <w:marLeft w:val="0"/>
      <w:marRight w:val="0"/>
      <w:marTop w:val="0"/>
      <w:marBottom w:val="0"/>
      <w:divBdr>
        <w:top w:val="none" w:sz="0" w:space="0" w:color="auto"/>
        <w:left w:val="none" w:sz="0" w:space="0" w:color="auto"/>
        <w:bottom w:val="none" w:sz="0" w:space="0" w:color="auto"/>
        <w:right w:val="none" w:sz="0" w:space="0" w:color="auto"/>
      </w:divBdr>
    </w:div>
    <w:div w:id="466551773">
      <w:bodyDiv w:val="1"/>
      <w:marLeft w:val="0"/>
      <w:marRight w:val="0"/>
      <w:marTop w:val="0"/>
      <w:marBottom w:val="0"/>
      <w:divBdr>
        <w:top w:val="none" w:sz="0" w:space="0" w:color="auto"/>
        <w:left w:val="none" w:sz="0" w:space="0" w:color="auto"/>
        <w:bottom w:val="none" w:sz="0" w:space="0" w:color="auto"/>
        <w:right w:val="none" w:sz="0" w:space="0" w:color="auto"/>
      </w:divBdr>
    </w:div>
    <w:div w:id="467823492">
      <w:bodyDiv w:val="1"/>
      <w:marLeft w:val="0"/>
      <w:marRight w:val="0"/>
      <w:marTop w:val="0"/>
      <w:marBottom w:val="0"/>
      <w:divBdr>
        <w:top w:val="none" w:sz="0" w:space="0" w:color="auto"/>
        <w:left w:val="none" w:sz="0" w:space="0" w:color="auto"/>
        <w:bottom w:val="none" w:sz="0" w:space="0" w:color="auto"/>
        <w:right w:val="none" w:sz="0" w:space="0" w:color="auto"/>
      </w:divBdr>
    </w:div>
    <w:div w:id="865101387">
      <w:bodyDiv w:val="1"/>
      <w:marLeft w:val="0"/>
      <w:marRight w:val="0"/>
      <w:marTop w:val="0"/>
      <w:marBottom w:val="0"/>
      <w:divBdr>
        <w:top w:val="none" w:sz="0" w:space="0" w:color="auto"/>
        <w:left w:val="none" w:sz="0" w:space="0" w:color="auto"/>
        <w:bottom w:val="none" w:sz="0" w:space="0" w:color="auto"/>
        <w:right w:val="none" w:sz="0" w:space="0" w:color="auto"/>
      </w:divBdr>
    </w:div>
    <w:div w:id="1045720519">
      <w:bodyDiv w:val="1"/>
      <w:marLeft w:val="0"/>
      <w:marRight w:val="0"/>
      <w:marTop w:val="0"/>
      <w:marBottom w:val="0"/>
      <w:divBdr>
        <w:top w:val="none" w:sz="0" w:space="0" w:color="auto"/>
        <w:left w:val="none" w:sz="0" w:space="0" w:color="auto"/>
        <w:bottom w:val="none" w:sz="0" w:space="0" w:color="auto"/>
        <w:right w:val="none" w:sz="0" w:space="0" w:color="auto"/>
      </w:divBdr>
      <w:divsChild>
        <w:div w:id="452988715">
          <w:marLeft w:val="0"/>
          <w:marRight w:val="0"/>
          <w:marTop w:val="0"/>
          <w:marBottom w:val="0"/>
          <w:divBdr>
            <w:top w:val="none" w:sz="0" w:space="0" w:color="auto"/>
            <w:left w:val="none" w:sz="0" w:space="0" w:color="auto"/>
            <w:bottom w:val="none" w:sz="0" w:space="0" w:color="auto"/>
            <w:right w:val="none" w:sz="0" w:space="0" w:color="auto"/>
          </w:divBdr>
        </w:div>
        <w:div w:id="38944490">
          <w:marLeft w:val="0"/>
          <w:marRight w:val="0"/>
          <w:marTop w:val="0"/>
          <w:marBottom w:val="0"/>
          <w:divBdr>
            <w:top w:val="none" w:sz="0" w:space="0" w:color="auto"/>
            <w:left w:val="none" w:sz="0" w:space="0" w:color="auto"/>
            <w:bottom w:val="none" w:sz="0" w:space="0" w:color="auto"/>
            <w:right w:val="none" w:sz="0" w:space="0" w:color="auto"/>
          </w:divBdr>
        </w:div>
      </w:divsChild>
    </w:div>
    <w:div w:id="1179470948">
      <w:bodyDiv w:val="1"/>
      <w:marLeft w:val="0"/>
      <w:marRight w:val="0"/>
      <w:marTop w:val="0"/>
      <w:marBottom w:val="0"/>
      <w:divBdr>
        <w:top w:val="none" w:sz="0" w:space="0" w:color="auto"/>
        <w:left w:val="none" w:sz="0" w:space="0" w:color="auto"/>
        <w:bottom w:val="none" w:sz="0" w:space="0" w:color="auto"/>
        <w:right w:val="none" w:sz="0" w:space="0" w:color="auto"/>
      </w:divBdr>
      <w:divsChild>
        <w:div w:id="1898316341">
          <w:marLeft w:val="0"/>
          <w:marRight w:val="0"/>
          <w:marTop w:val="0"/>
          <w:marBottom w:val="0"/>
          <w:divBdr>
            <w:top w:val="none" w:sz="0" w:space="0" w:color="auto"/>
            <w:left w:val="none" w:sz="0" w:space="0" w:color="auto"/>
            <w:bottom w:val="none" w:sz="0" w:space="0" w:color="auto"/>
            <w:right w:val="none" w:sz="0" w:space="0" w:color="auto"/>
          </w:divBdr>
        </w:div>
        <w:div w:id="956831792">
          <w:marLeft w:val="0"/>
          <w:marRight w:val="0"/>
          <w:marTop w:val="0"/>
          <w:marBottom w:val="0"/>
          <w:divBdr>
            <w:top w:val="none" w:sz="0" w:space="0" w:color="auto"/>
            <w:left w:val="none" w:sz="0" w:space="0" w:color="auto"/>
            <w:bottom w:val="none" w:sz="0" w:space="0" w:color="auto"/>
            <w:right w:val="none" w:sz="0" w:space="0" w:color="auto"/>
          </w:divBdr>
        </w:div>
        <w:div w:id="1958753484">
          <w:marLeft w:val="0"/>
          <w:marRight w:val="0"/>
          <w:marTop w:val="0"/>
          <w:marBottom w:val="0"/>
          <w:divBdr>
            <w:top w:val="none" w:sz="0" w:space="0" w:color="auto"/>
            <w:left w:val="none" w:sz="0" w:space="0" w:color="auto"/>
            <w:bottom w:val="none" w:sz="0" w:space="0" w:color="auto"/>
            <w:right w:val="none" w:sz="0" w:space="0" w:color="auto"/>
          </w:divBdr>
        </w:div>
        <w:div w:id="200099380">
          <w:marLeft w:val="0"/>
          <w:marRight w:val="0"/>
          <w:marTop w:val="0"/>
          <w:marBottom w:val="0"/>
          <w:divBdr>
            <w:top w:val="none" w:sz="0" w:space="0" w:color="auto"/>
            <w:left w:val="none" w:sz="0" w:space="0" w:color="auto"/>
            <w:bottom w:val="none" w:sz="0" w:space="0" w:color="auto"/>
            <w:right w:val="none" w:sz="0" w:space="0" w:color="auto"/>
          </w:divBdr>
        </w:div>
      </w:divsChild>
    </w:div>
    <w:div w:id="1518619556">
      <w:bodyDiv w:val="1"/>
      <w:marLeft w:val="0"/>
      <w:marRight w:val="0"/>
      <w:marTop w:val="0"/>
      <w:marBottom w:val="0"/>
      <w:divBdr>
        <w:top w:val="none" w:sz="0" w:space="0" w:color="auto"/>
        <w:left w:val="none" w:sz="0" w:space="0" w:color="auto"/>
        <w:bottom w:val="none" w:sz="0" w:space="0" w:color="auto"/>
        <w:right w:val="none" w:sz="0" w:space="0" w:color="auto"/>
      </w:divBdr>
      <w:divsChild>
        <w:div w:id="783351861">
          <w:marLeft w:val="0"/>
          <w:marRight w:val="0"/>
          <w:marTop w:val="0"/>
          <w:marBottom w:val="0"/>
          <w:divBdr>
            <w:top w:val="none" w:sz="0" w:space="0" w:color="auto"/>
            <w:left w:val="none" w:sz="0" w:space="0" w:color="auto"/>
            <w:bottom w:val="none" w:sz="0" w:space="0" w:color="auto"/>
            <w:right w:val="none" w:sz="0" w:space="0" w:color="auto"/>
          </w:divBdr>
        </w:div>
        <w:div w:id="1890917494">
          <w:marLeft w:val="0"/>
          <w:marRight w:val="0"/>
          <w:marTop w:val="0"/>
          <w:marBottom w:val="0"/>
          <w:divBdr>
            <w:top w:val="none" w:sz="0" w:space="0" w:color="auto"/>
            <w:left w:val="none" w:sz="0" w:space="0" w:color="auto"/>
            <w:bottom w:val="none" w:sz="0" w:space="0" w:color="auto"/>
            <w:right w:val="none" w:sz="0" w:space="0" w:color="auto"/>
          </w:divBdr>
        </w:div>
      </w:divsChild>
    </w:div>
    <w:div w:id="1959680540">
      <w:bodyDiv w:val="1"/>
      <w:marLeft w:val="0"/>
      <w:marRight w:val="0"/>
      <w:marTop w:val="0"/>
      <w:marBottom w:val="0"/>
      <w:divBdr>
        <w:top w:val="none" w:sz="0" w:space="0" w:color="auto"/>
        <w:left w:val="none" w:sz="0" w:space="0" w:color="auto"/>
        <w:bottom w:val="none" w:sz="0" w:space="0" w:color="auto"/>
        <w:right w:val="none" w:sz="0" w:space="0" w:color="auto"/>
      </w:divBdr>
      <w:divsChild>
        <w:div w:id="1596984928">
          <w:marLeft w:val="0"/>
          <w:marRight w:val="0"/>
          <w:marTop w:val="0"/>
          <w:marBottom w:val="0"/>
          <w:divBdr>
            <w:top w:val="none" w:sz="0" w:space="0" w:color="auto"/>
            <w:left w:val="none" w:sz="0" w:space="0" w:color="auto"/>
            <w:bottom w:val="none" w:sz="0" w:space="0" w:color="auto"/>
            <w:right w:val="none" w:sz="0" w:space="0" w:color="auto"/>
          </w:divBdr>
        </w:div>
        <w:div w:id="171071504">
          <w:marLeft w:val="0"/>
          <w:marRight w:val="0"/>
          <w:marTop w:val="0"/>
          <w:marBottom w:val="0"/>
          <w:divBdr>
            <w:top w:val="none" w:sz="0" w:space="0" w:color="auto"/>
            <w:left w:val="none" w:sz="0" w:space="0" w:color="auto"/>
            <w:bottom w:val="none" w:sz="0" w:space="0" w:color="auto"/>
            <w:right w:val="none" w:sz="0" w:space="0" w:color="auto"/>
          </w:divBdr>
        </w:div>
      </w:divsChild>
    </w:div>
    <w:div w:id="2132094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11EDB-EF9D-4671-B705-4260BA9C7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2642</TotalTime>
  <Pages>18</Pages>
  <Words>7068</Words>
  <Characters>37113</Characters>
  <Application>Microsoft Office Word</Application>
  <DocSecurity>0</DocSecurity>
  <Lines>905</Lines>
  <Paragraphs>485</Paragraphs>
  <ScaleCrop>false</ScaleCrop>
  <HeadingPairs>
    <vt:vector size="2" baseType="variant">
      <vt:variant>
        <vt:lpstr>Title</vt:lpstr>
      </vt:variant>
      <vt:variant>
        <vt:i4>1</vt:i4>
      </vt:variant>
    </vt:vector>
  </HeadingPairs>
  <TitlesOfParts>
    <vt:vector size="1" baseType="lpstr">
      <vt:lpstr/>
    </vt:vector>
  </TitlesOfParts>
  <Company>IFPRI</Company>
  <LinksUpToDate>false</LinksUpToDate>
  <CharactersWithSpaces>43696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lastModifiedBy>Van Campenhout, Bjorn (IFPRI-Kampala)</cp:lastModifiedBy>
  <cp:revision>94</cp:revision>
  <dcterms:created xsi:type="dcterms:W3CDTF">2015-09-08T11:05:00Z</dcterms:created>
  <dcterms:modified xsi:type="dcterms:W3CDTF">2015-09-18T14:29:00Z</dcterms:modified>
  <dc:language>en-GB</dc:language>
</cp:coreProperties>
</file>