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AB970" w14:textId="67F2C6A0" w:rsidR="00902F9D" w:rsidRDefault="0069688E" w:rsidP="0069688E">
      <w:pPr>
        <w:pStyle w:val="Heading1"/>
        <w:spacing w:before="120"/>
        <w:jc w:val="center"/>
        <w:rPr>
          <w:rFonts w:ascii="Times New Roman" w:hAnsi="Times New Roman" w:cs="Times New Roman"/>
        </w:rPr>
      </w:pPr>
      <w:r>
        <w:rPr>
          <w:rFonts w:ascii="Times New Roman" w:hAnsi="Times New Roman" w:cs="Times New Roman"/>
        </w:rPr>
        <w:t>Revision memo (manuscript reference: AER-2023-1277)</w:t>
      </w:r>
    </w:p>
    <w:p w14:paraId="51A8E46A" w14:textId="77777777" w:rsidR="00902F9D" w:rsidRDefault="00000000">
      <w:pPr>
        <w:pStyle w:val="Heading1"/>
        <w:spacing w:before="120"/>
        <w:jc w:val="center"/>
        <w:rPr>
          <w:rFonts w:ascii="Times New Roman" w:hAnsi="Times New Roman" w:cs="Times New Roman"/>
          <w:b/>
          <w:bCs/>
        </w:rPr>
      </w:pPr>
      <w:r>
        <w:rPr>
          <w:rFonts w:ascii="Times New Roman" w:hAnsi="Times New Roman" w:cs="Times New Roman"/>
          <w:b/>
          <w:bCs/>
        </w:rPr>
        <w:t>“The (perceived) quality of agricultural technology and its adoption: Experimental evidence from Uganda”</w:t>
      </w:r>
    </w:p>
    <w:p w14:paraId="574F918B" w14:textId="77777777" w:rsidR="00902F9D" w:rsidRDefault="00000000">
      <w:pPr>
        <w:jc w:val="both"/>
      </w:pPr>
      <w:r>
        <w:t>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 that was inserted into the manuscript.</w:t>
      </w:r>
    </w:p>
    <w:p w14:paraId="228F75F0" w14:textId="77777777" w:rsidR="00902F9D" w:rsidRDefault="00902F9D">
      <w:pPr>
        <w:jc w:val="both"/>
      </w:pPr>
    </w:p>
    <w:p w14:paraId="74AC3600" w14:textId="77777777" w:rsidR="00902F9D" w:rsidRDefault="00000000">
      <w:pPr>
        <w:pStyle w:val="Heading2"/>
        <w:spacing w:before="120"/>
        <w:rPr>
          <w:rFonts w:ascii="Times New Roman" w:hAnsi="Times New Roman" w:cs="Times New Roman"/>
          <w:b/>
          <w:bCs/>
        </w:rPr>
      </w:pPr>
      <w:r>
        <w:rPr>
          <w:rFonts w:ascii="Times New Roman" w:hAnsi="Times New Roman" w:cs="Times New Roman"/>
          <w:b/>
          <w:bCs/>
        </w:rPr>
        <w:t>Editor</w:t>
      </w:r>
    </w:p>
    <w:p w14:paraId="0DA09896" w14:textId="77777777" w:rsidR="00902F9D" w:rsidRDefault="00000000">
      <w:pPr>
        <w:jc w:val="both"/>
      </w:pPr>
      <w:r>
        <w:t xml:space="preserve">Dear Dr. Van </w:t>
      </w:r>
      <w:proofErr w:type="spellStart"/>
      <w:r>
        <w:t>Campenhout</w:t>
      </w:r>
      <w:proofErr w:type="spellEnd"/>
      <w:r>
        <w:t>:</w:t>
      </w:r>
    </w:p>
    <w:p w14:paraId="650A6C43" w14:textId="77777777" w:rsidR="00902F9D" w:rsidRDefault="00902F9D">
      <w:pPr>
        <w:jc w:val="both"/>
      </w:pPr>
    </w:p>
    <w:p w14:paraId="5BE821E7" w14:textId="77777777" w:rsidR="00902F9D" w:rsidRDefault="00000000">
      <w:pPr>
        <w:jc w:val="both"/>
      </w:pPr>
      <w:r>
        <w:t>I am writing to you about your AER submission above. I thought that your paper was very promising and so I sent the paper to three very knowledgeable referees, whose reports are below.</w:t>
      </w:r>
    </w:p>
    <w:p w14:paraId="73697368" w14:textId="77777777" w:rsidR="00902F9D" w:rsidRDefault="00000000">
      <w:pPr>
        <w:jc w:val="both"/>
      </w:pPr>
      <w:r>
        <w:t xml:space="preserve">I am afraid that I do not have great news to share, as both referees recommend rejection. Both note that it is a well-done experiment, but they both have concerns about the contribution to the literature given what the paper </w:t>
      </w:r>
      <w:proofErr w:type="gramStart"/>
      <w:r>
        <w:t>is able to</w:t>
      </w:r>
      <w:proofErr w:type="gramEnd"/>
      <w:r>
        <w:t xml:space="preserve"> measure. Having read the paper, I agree with the referees, and I will have to pass on the paper. Both referees provide </w:t>
      </w:r>
      <w:proofErr w:type="gramStart"/>
      <w:r>
        <w:t>really thoughtful</w:t>
      </w:r>
      <w:proofErr w:type="gramEnd"/>
      <w:r>
        <w:t xml:space="preserve">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14:paraId="2F7D4A7A" w14:textId="77777777" w:rsidR="00902F9D" w:rsidRDefault="00000000">
      <w:pPr>
        <w:jc w:val="both"/>
      </w:pPr>
      <w:r>
        <w:t xml:space="preserve">Again, I am very </w:t>
      </w:r>
      <w:proofErr w:type="spellStart"/>
      <w:r>
        <w:t>very</w:t>
      </w:r>
      <w:proofErr w:type="spellEnd"/>
      <w:r>
        <w:t xml:space="preserve"> sorry to convey this disappointing news. I thank you for giving us the opportunity to consider your work, and hope that the outcome of this specific submission will not discourage you from the submission of future manuscripts. Good luck with the project!</w:t>
      </w:r>
    </w:p>
    <w:p w14:paraId="749F0129" w14:textId="77777777" w:rsidR="00902F9D" w:rsidRDefault="00902F9D">
      <w:pPr>
        <w:jc w:val="both"/>
      </w:pPr>
    </w:p>
    <w:p w14:paraId="12FC6FBE" w14:textId="77777777" w:rsidR="00902F9D" w:rsidRDefault="00000000">
      <w:pPr>
        <w:jc w:val="both"/>
      </w:pPr>
      <w:r>
        <w:t>Sincerely,</w:t>
      </w:r>
    </w:p>
    <w:p w14:paraId="79578A6F" w14:textId="77777777" w:rsidR="00902F9D" w:rsidRDefault="00000000">
      <w:pPr>
        <w:jc w:val="both"/>
      </w:pPr>
      <w:r>
        <w:t>Prof. Rema Hanna</w:t>
      </w:r>
    </w:p>
    <w:p w14:paraId="2E66D04B" w14:textId="77777777" w:rsidR="00902F9D" w:rsidRDefault="00000000">
      <w:pPr>
        <w:jc w:val="both"/>
      </w:pPr>
      <w:r>
        <w:t>Coeditor, American Economic Review</w:t>
      </w:r>
    </w:p>
    <w:p w14:paraId="39518C69" w14:textId="77777777" w:rsidR="00902F9D" w:rsidRDefault="00000000">
      <w:pPr>
        <w:jc w:val="both"/>
      </w:pPr>
      <w:r>
        <w:br w:type="page"/>
      </w:r>
    </w:p>
    <w:p w14:paraId="088476B5" w14:textId="64367B0E" w:rsidR="00902F9D" w:rsidRDefault="00000000">
      <w:pPr>
        <w:pStyle w:val="Heading2"/>
        <w:spacing w:before="0"/>
        <w:rPr>
          <w:rFonts w:ascii="Times New Roman" w:hAnsi="Times New Roman" w:cs="Times New Roman"/>
          <w:b/>
          <w:bCs/>
        </w:rPr>
      </w:pPr>
      <w:r>
        <w:rPr>
          <w:rFonts w:ascii="Times New Roman" w:hAnsi="Times New Roman" w:cs="Times New Roman"/>
          <w:b/>
          <w:bCs/>
        </w:rPr>
        <w:lastRenderedPageBreak/>
        <w:t>Reviewer 1</w:t>
      </w:r>
    </w:p>
    <w:p w14:paraId="5CCABA12" w14:textId="77777777" w:rsidR="00902F9D" w:rsidRDefault="00000000">
      <w:pPr>
        <w:jc w:val="both"/>
      </w:pPr>
      <w:r>
        <w:t xml:space="preserve">This paper is concerned about the low adoption of improved maize seeds sold by agro-dealers. The authors argue that low adoption could be due to agro-dealers not knowing how to store or handle the seeds, or to misperceptions by farmers, thinking that the seeds are of lower quality </w:t>
      </w:r>
      <w:proofErr w:type="gramStart"/>
      <w:r>
        <w:t>than in reality</w:t>
      </w:r>
      <w:proofErr w:type="gramEnd"/>
      <w:r>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14:paraId="0C4C124D" w14:textId="191BB64F" w:rsidR="00902F9D" w:rsidRDefault="00000000">
      <w:pPr>
        <w:jc w:val="both"/>
      </w:pPr>
      <w: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14:paraId="2CFBA140" w14:textId="77777777"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1, major comment 1: Agro-dealer handling and storing of seeds</w:t>
      </w:r>
    </w:p>
    <w:p w14:paraId="0DB6512E" w14:textId="77777777" w:rsidR="005F2FBF" w:rsidRDefault="00000000">
      <w:pPr>
        <w:jc w:val="both"/>
      </w:pPr>
      <w: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14:paraId="130B142E" w14:textId="77777777" w:rsidR="005F2FBF" w:rsidRDefault="00000000">
      <w:pPr>
        <w:jc w:val="both"/>
      </w:pPr>
      <w:r>
        <w:rPr>
          <w:i/>
          <w:iCs/>
        </w:rPr>
        <w:t>Indeed</w:t>
      </w:r>
      <w:r w:rsidR="005F2FBF">
        <w:rPr>
          <w:i/>
          <w:iCs/>
        </w:rPr>
        <w:t xml:space="preserve">, </w:t>
      </w:r>
      <w:r>
        <w:rPr>
          <w:i/>
          <w:iCs/>
        </w:rPr>
        <w:t xml:space="preserve">wastage does not seem to be a major issue, but we do not necessarily agree that a larger reported </w:t>
      </w:r>
      <w:proofErr w:type="gramStart"/>
      <w:r>
        <w:rPr>
          <w:i/>
          <w:iCs/>
        </w:rPr>
        <w:t>amount</w:t>
      </w:r>
      <w:proofErr w:type="gramEnd"/>
      <w:r>
        <w:rPr>
          <w:i/>
          <w:iCs/>
        </w:rPr>
        <w:t xml:space="preserve"> of maize seed lost/wasted would be a symptom of incorrect seed storage and handling. Instead, agro-dealers that lack knowledge might not </w:t>
      </w:r>
      <w:r>
        <w:rPr>
          <w:i/>
          <w:iCs/>
          <w:lang w:bidi="hi-IN"/>
        </w:rPr>
        <w:t>be able to identify seed</w:t>
      </w:r>
      <w:r>
        <w:rPr>
          <w:i/>
          <w:iCs/>
        </w:rPr>
        <w:t xml:space="preserve"> that should be disposed of,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unknowingly sell spoiled seed </w:t>
      </w:r>
      <w:r>
        <w:rPr>
          <w:i/>
          <w:iCs/>
          <w:lang w:bidi="hi-IN"/>
        </w:rPr>
        <w:t xml:space="preserve">to farmers, </w:t>
      </w:r>
      <w:r>
        <w:rPr>
          <w:i/>
          <w:iCs/>
        </w:rPr>
        <w:t>leading to low average wastage.</w:t>
      </w:r>
    </w:p>
    <w:p w14:paraId="4F0053F6" w14:textId="2B11D4C5" w:rsidR="00902F9D" w:rsidRPr="005F2FBF" w:rsidRDefault="00000000">
      <w:pPr>
        <w:jc w:val="both"/>
      </w:pPr>
      <w:r>
        <w:rPr>
          <w:i/>
          <w:iCs/>
        </w:rPr>
        <w:t xml:space="preserve">To back our claim that agro-dealer knowledge is lacking and to further motivate our hypothesis as the reviewer requested, we </w:t>
      </w:r>
      <w:r w:rsidR="005F2FBF">
        <w:rPr>
          <w:i/>
          <w:iCs/>
        </w:rPr>
        <w:t>include</w:t>
      </w:r>
      <w:r>
        <w:rPr>
          <w:i/>
          <w:iCs/>
        </w:rPr>
        <w:t xml:space="preserve"> baseline information on </w:t>
      </w:r>
      <w:r w:rsidR="005F2FBF" w:rsidRPr="005F2FBF">
        <w:rPr>
          <w:i/>
          <w:iCs/>
        </w:rPr>
        <w:t>agro-dealer knowledge</w:t>
      </w:r>
      <w:r>
        <w:rPr>
          <w:i/>
          <w:iCs/>
        </w:rPr>
        <w:t xml:space="preserve"> in Table </w:t>
      </w:r>
      <w:r w:rsidR="005F2FBF" w:rsidRPr="005F2FBF">
        <w:rPr>
          <w:i/>
          <w:iCs/>
        </w:rPr>
        <w:t>A7</w:t>
      </w:r>
      <w:r w:rsidR="005F2FBF">
        <w:rPr>
          <w:i/>
          <w:iCs/>
        </w:rPr>
        <w:t xml:space="preserve"> in</w:t>
      </w:r>
      <w:r>
        <w:rPr>
          <w:i/>
          <w:iCs/>
        </w:rPr>
        <w:t xml:space="preserve"> the appendix and add the following paragraph</w:t>
      </w:r>
      <w:r w:rsidR="005F2FBF">
        <w:rPr>
          <w:i/>
          <w:iCs/>
        </w:rPr>
        <w:t xml:space="preserve"> to the main text:</w:t>
      </w:r>
    </w:p>
    <w:p w14:paraId="5AA1F4AF" w14:textId="6C4B5F14" w:rsidR="00902F9D" w:rsidRDefault="00000000" w:rsidP="005F2FBF">
      <w:pPr>
        <w:ind w:left="709"/>
        <w:jc w:val="both"/>
        <w:rPr>
          <w:i/>
          <w:iCs/>
        </w:rPr>
      </w:pPr>
      <w:r>
        <w:rPr>
          <w:i/>
          <w:iCs/>
        </w:rPr>
        <w:t>“</w:t>
      </w:r>
      <w:r w:rsidR="005F2FBF" w:rsidRPr="005F2FBF">
        <w:rPr>
          <w:i/>
          <w:iCs/>
        </w:rPr>
        <w:t>These indices are useful to test if there are significant knowledge differences between</w:t>
      </w:r>
      <w:r w:rsidR="005F2FBF">
        <w:rPr>
          <w:i/>
          <w:iCs/>
        </w:rPr>
        <w:t xml:space="preserve"> </w:t>
      </w:r>
      <w:r w:rsidR="005F2FBF" w:rsidRPr="005F2FBF">
        <w:rPr>
          <w:i/>
          <w:iCs/>
        </w:rPr>
        <w:t>treatment groups. However, they are less useful for assessing agro-dealer knowledge</w:t>
      </w:r>
      <w:r w:rsidR="005F2FBF">
        <w:rPr>
          <w:i/>
          <w:iCs/>
        </w:rPr>
        <w:t xml:space="preserve"> </w:t>
      </w:r>
      <w:r w:rsidR="005F2FBF" w:rsidRPr="005F2FBF">
        <w:rPr>
          <w:i/>
          <w:iCs/>
        </w:rPr>
        <w:t>at baseline, and indices may mask subtle differences in effects on individual answers.</w:t>
      </w:r>
      <w:r w:rsidR="005F2FBF">
        <w:rPr>
          <w:i/>
          <w:iCs/>
        </w:rPr>
        <w:t xml:space="preserve"> </w:t>
      </w:r>
      <w:r w:rsidR="005F2FBF" w:rsidRPr="005F2FBF">
        <w:rPr>
          <w:i/>
          <w:iCs/>
        </w:rPr>
        <w:t>In Appendix A.6, we therefore provide baseline means and effects on the different</w:t>
      </w:r>
      <w:r w:rsidR="005F2FBF">
        <w:rPr>
          <w:i/>
          <w:iCs/>
        </w:rPr>
        <w:t xml:space="preserve"> </w:t>
      </w:r>
      <w:r w:rsidR="005F2FBF" w:rsidRPr="005F2FBF">
        <w:rPr>
          <w:i/>
          <w:iCs/>
        </w:rPr>
        <w:t>knowledge variables included in the indices. Baseline knowledge is low with only 5%</w:t>
      </w:r>
      <w:r w:rsidR="005F2FBF">
        <w:rPr>
          <w:i/>
          <w:iCs/>
        </w:rPr>
        <w:t xml:space="preserve"> </w:t>
      </w:r>
      <w:r w:rsidR="005F2FBF" w:rsidRPr="005F2FBF">
        <w:rPr>
          <w:i/>
          <w:iCs/>
        </w:rPr>
        <w:t>of agro-dealers knowing which variety to recommend if a farmer complains about lack</w:t>
      </w:r>
      <w:r w:rsidR="005F2FBF">
        <w:rPr>
          <w:i/>
          <w:iCs/>
        </w:rPr>
        <w:t xml:space="preserve"> </w:t>
      </w:r>
      <w:r w:rsidR="005F2FBF" w:rsidRPr="005F2FBF">
        <w:rPr>
          <w:i/>
          <w:iCs/>
        </w:rPr>
        <w:t>of rain. Highest knowledge is recorded when we ask about repackaging seed: 64% of</w:t>
      </w:r>
      <w:r w:rsidR="005F2FBF">
        <w:rPr>
          <w:i/>
          <w:iCs/>
        </w:rPr>
        <w:t xml:space="preserve"> </w:t>
      </w:r>
      <w:r w:rsidR="005F2FBF" w:rsidRPr="005F2FBF">
        <w:rPr>
          <w:i/>
          <w:iCs/>
        </w:rPr>
        <w:t>agro-dealers know that this practice should be avoided. This low baseline knowledge</w:t>
      </w:r>
      <w:r w:rsidR="005F2FBF">
        <w:rPr>
          <w:i/>
          <w:iCs/>
        </w:rPr>
        <w:t xml:space="preserve"> </w:t>
      </w:r>
      <w:r w:rsidR="005F2FBF" w:rsidRPr="005F2FBF">
        <w:rPr>
          <w:i/>
          <w:iCs/>
        </w:rPr>
        <w:t>suggests ample room for improvement.</w:t>
      </w:r>
      <w:r>
        <w:rPr>
          <w:i/>
          <w:iCs/>
        </w:rPr>
        <w:t>”</w:t>
      </w:r>
    </w:p>
    <w:p w14:paraId="2646DDE1" w14:textId="77777777" w:rsidR="00653920" w:rsidRDefault="00000000" w:rsidP="00653920">
      <w:pPr>
        <w:jc w:val="both"/>
        <w:rPr>
          <w:i/>
          <w:iCs/>
        </w:rPr>
      </w:pPr>
      <w:r>
        <w:rPr>
          <w:i/>
          <w:iCs/>
        </w:rPr>
        <w:t>We also mention that this lack of agro-dealer knowledge may lead to sub-optimal seed storage and handling in two descriptive paragraphs:</w:t>
      </w:r>
    </w:p>
    <w:p w14:paraId="1A377CC7" w14:textId="4135C2F0" w:rsidR="00653920" w:rsidRDefault="00653920" w:rsidP="00653920">
      <w:pPr>
        <w:ind w:left="709"/>
        <w:jc w:val="both"/>
        <w:rPr>
          <w:i/>
          <w:iCs/>
        </w:rPr>
      </w:pPr>
      <w:r>
        <w:rPr>
          <w:i/>
          <w:iCs/>
        </w:rPr>
        <w:t>“</w:t>
      </w:r>
      <w:r w:rsidRPr="00653920">
        <w:rPr>
          <w:i/>
          <w:iCs/>
        </w:rPr>
        <w:t>Information was also collected to provide an initial assessment of the quality of maize</w:t>
      </w:r>
      <w:r>
        <w:rPr>
          <w:i/>
          <w:iCs/>
        </w:rPr>
        <w:t xml:space="preserve"> </w:t>
      </w:r>
      <w:r w:rsidRPr="00653920">
        <w:rPr>
          <w:i/>
          <w:iCs/>
        </w:rPr>
        <w:t>seed</w:t>
      </w:r>
      <w:r>
        <w:rPr>
          <w:i/>
          <w:iCs/>
        </w:rPr>
        <w:t xml:space="preserve"> </w:t>
      </w:r>
      <w:r w:rsidRPr="00653920">
        <w:rPr>
          <w:i/>
          <w:iCs/>
        </w:rPr>
        <w:t>sold at the sampled agro-dealers. This included specific questions on seed storage</w:t>
      </w:r>
      <w:r>
        <w:rPr>
          <w:i/>
          <w:iCs/>
        </w:rPr>
        <w:t xml:space="preserve"> </w:t>
      </w:r>
      <w:r w:rsidRPr="00653920">
        <w:rPr>
          <w:i/>
          <w:iCs/>
        </w:rPr>
        <w:t>and handling. Furthermore, with the shop manager’s permission, enumerators—who</w:t>
      </w:r>
      <w:r>
        <w:rPr>
          <w:i/>
          <w:iCs/>
        </w:rPr>
        <w:t xml:space="preserve"> </w:t>
      </w:r>
      <w:r w:rsidRPr="00653920">
        <w:rPr>
          <w:i/>
          <w:iCs/>
        </w:rPr>
        <w:t>were trained to do so at the outset of the study—inspected the area where seed was</w:t>
      </w:r>
      <w:r>
        <w:rPr>
          <w:i/>
          <w:iCs/>
        </w:rPr>
        <w:t xml:space="preserve"> </w:t>
      </w:r>
      <w:r w:rsidRPr="00653920">
        <w:rPr>
          <w:i/>
          <w:iCs/>
        </w:rPr>
        <w:t>stored and carefully recorded the conditions. Baseline data reveals various signs that</w:t>
      </w:r>
      <w:r>
        <w:rPr>
          <w:i/>
          <w:iCs/>
        </w:rPr>
        <w:t xml:space="preserve"> </w:t>
      </w:r>
      <w:r w:rsidRPr="00653920">
        <w:rPr>
          <w:i/>
          <w:iCs/>
        </w:rPr>
        <w:t>seed storage and handling are sub-optimal and may affect seed quality in line with our</w:t>
      </w:r>
      <w:r>
        <w:rPr>
          <w:i/>
          <w:iCs/>
        </w:rPr>
        <w:t xml:space="preserve"> </w:t>
      </w:r>
      <w:r w:rsidRPr="00653920">
        <w:rPr>
          <w:i/>
          <w:iCs/>
        </w:rPr>
        <w:t>first hypothesis. For example, we find that 65% of agro-dealers had problems with pests</w:t>
      </w:r>
      <w:r>
        <w:rPr>
          <w:i/>
          <w:iCs/>
        </w:rPr>
        <w:t xml:space="preserve"> </w:t>
      </w:r>
      <w:r w:rsidRPr="00653920">
        <w:rPr>
          <w:i/>
          <w:iCs/>
        </w:rPr>
        <w:t>such as rats or insects, while 16% store maize seed in open containers, thus exposing</w:t>
      </w:r>
      <w:r>
        <w:rPr>
          <w:i/>
          <w:iCs/>
        </w:rPr>
        <w:t xml:space="preserve"> </w:t>
      </w:r>
      <w:r w:rsidRPr="00653920">
        <w:rPr>
          <w:i/>
          <w:iCs/>
        </w:rPr>
        <w:t>the seed to a range of pests and contaminants. Not surprisingly, two-thirds of the agro</w:t>
      </w:r>
      <w:r>
        <w:rPr>
          <w:i/>
          <w:iCs/>
        </w:rPr>
        <w:t>-</w:t>
      </w:r>
      <w:r w:rsidRPr="00653920">
        <w:rPr>
          <w:i/>
          <w:iCs/>
        </w:rPr>
        <w:t>dealers</w:t>
      </w:r>
      <w:r>
        <w:rPr>
          <w:i/>
          <w:iCs/>
        </w:rPr>
        <w:t xml:space="preserve"> </w:t>
      </w:r>
      <w:r w:rsidRPr="00653920">
        <w:rPr>
          <w:i/>
          <w:iCs/>
        </w:rPr>
        <w:t>sampled reported that they had received at least one complaint about seed they</w:t>
      </w:r>
      <w:r>
        <w:rPr>
          <w:i/>
          <w:iCs/>
        </w:rPr>
        <w:t xml:space="preserve"> </w:t>
      </w:r>
      <w:r w:rsidRPr="00653920">
        <w:rPr>
          <w:i/>
          <w:iCs/>
        </w:rPr>
        <w:t>sold from a customer during the prior season.</w:t>
      </w:r>
    </w:p>
    <w:p w14:paraId="51FC26D3" w14:textId="50A9C3A0" w:rsidR="00653920" w:rsidRDefault="00653920" w:rsidP="00653920">
      <w:pPr>
        <w:ind w:left="709"/>
        <w:jc w:val="both"/>
        <w:rPr>
          <w:i/>
          <w:iCs/>
        </w:rPr>
      </w:pPr>
      <w:r w:rsidRPr="00653920">
        <w:rPr>
          <w:i/>
          <w:iCs/>
        </w:rPr>
        <w:lastRenderedPageBreak/>
        <w:t>Our measurements of moisture content in the bags of sampled seed obtained from the</w:t>
      </w:r>
      <w:r>
        <w:rPr>
          <w:i/>
          <w:iCs/>
        </w:rPr>
        <w:t xml:space="preserve"> </w:t>
      </w:r>
      <w:r w:rsidRPr="00653920">
        <w:rPr>
          <w:i/>
          <w:iCs/>
        </w:rPr>
        <w:t>agro-dealers indicated an average of 13.6%, with a minimum of 10.3% and a maximum</w:t>
      </w:r>
      <w:r>
        <w:rPr>
          <w:i/>
          <w:iCs/>
        </w:rPr>
        <w:t xml:space="preserve"> </w:t>
      </w:r>
      <w:r w:rsidRPr="00653920">
        <w:rPr>
          <w:i/>
          <w:iCs/>
        </w:rPr>
        <w:t>of 17.4%. On average, these moisture contents were above the recommended content of</w:t>
      </w:r>
      <w:r>
        <w:rPr>
          <w:i/>
          <w:iCs/>
        </w:rPr>
        <w:t xml:space="preserve"> </w:t>
      </w:r>
      <w:r w:rsidRPr="00653920">
        <w:rPr>
          <w:i/>
          <w:iCs/>
        </w:rPr>
        <w:t>13%, suggesting potential for the growth of molds and storage pests that can negatively</w:t>
      </w:r>
      <w:r>
        <w:rPr>
          <w:i/>
          <w:iCs/>
        </w:rPr>
        <w:t xml:space="preserve"> </w:t>
      </w:r>
      <w:r w:rsidRPr="00653920">
        <w:rPr>
          <w:i/>
          <w:iCs/>
        </w:rPr>
        <w:t>affect seed quality and performance</w:t>
      </w:r>
      <w:r w:rsidR="003B2213">
        <w:rPr>
          <w:i/>
          <w:iCs/>
        </w:rPr>
        <w:t>.</w:t>
      </w:r>
      <w:r w:rsidR="003B2213" w:rsidRPr="003B2213">
        <w:rPr>
          <w:i/>
          <w:iCs/>
          <w:vertAlign w:val="superscript"/>
        </w:rPr>
        <w:t>14</w:t>
      </w:r>
      <w:r w:rsidR="003B2213">
        <w:rPr>
          <w:i/>
          <w:iCs/>
        </w:rPr>
        <w:t xml:space="preserve"> </w:t>
      </w:r>
      <w:r w:rsidRPr="00653920">
        <w:rPr>
          <w:i/>
          <w:iCs/>
        </w:rPr>
        <w:t>In terms of labeling for quality, 68% of the</w:t>
      </w:r>
      <w:r>
        <w:rPr>
          <w:i/>
          <w:iCs/>
        </w:rPr>
        <w:t xml:space="preserve"> </w:t>
      </w:r>
      <w:r w:rsidRPr="00653920">
        <w:rPr>
          <w:i/>
          <w:iCs/>
        </w:rPr>
        <w:t>purchased seed bags contained a printed packaging date, 18% had an expiry date,</w:t>
      </w:r>
      <w:r>
        <w:rPr>
          <w:i/>
          <w:iCs/>
        </w:rPr>
        <w:t xml:space="preserve"> </w:t>
      </w:r>
      <w:r w:rsidRPr="00653920">
        <w:rPr>
          <w:i/>
          <w:iCs/>
        </w:rPr>
        <w:t>and 8% displayed a quality indication label issued by the National Seed Certification</w:t>
      </w:r>
      <w:r>
        <w:rPr>
          <w:i/>
          <w:iCs/>
        </w:rPr>
        <w:t xml:space="preserve"> </w:t>
      </w:r>
      <w:r w:rsidRPr="00653920">
        <w:rPr>
          <w:i/>
          <w:iCs/>
        </w:rPr>
        <w:t>Services (NSCS).</w:t>
      </w:r>
      <w:r w:rsidR="003B2213" w:rsidRPr="003B2213">
        <w:rPr>
          <w:i/>
          <w:iCs/>
          <w:vertAlign w:val="superscript"/>
        </w:rPr>
        <w:t>15</w:t>
      </w:r>
      <w:r>
        <w:rPr>
          <w:i/>
          <w:iCs/>
        </w:rPr>
        <w:t>”</w:t>
      </w:r>
    </w:p>
    <w:p w14:paraId="2E0ADDC1" w14:textId="3BDC31D9" w:rsidR="00653920" w:rsidRDefault="00653920" w:rsidP="0007472F">
      <w:pPr>
        <w:jc w:val="center"/>
        <w:rPr>
          <w:i/>
          <w:iCs/>
        </w:rPr>
      </w:pPr>
      <w:r>
        <w:rPr>
          <w:i/>
          <w:iCs/>
          <w:noProof/>
        </w:rPr>
        <w:drawing>
          <wp:inline distT="0" distB="0" distL="0" distR="0" wp14:anchorId="09711CFD" wp14:editId="253F865A">
            <wp:extent cx="6120130" cy="4424680"/>
            <wp:effectExtent l="0" t="0" r="0" b="0"/>
            <wp:docPr id="611816986"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6986" name="Picture 1" descr="A paper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424680"/>
                    </a:xfrm>
                    <a:prstGeom prst="rect">
                      <a:avLst/>
                    </a:prstGeom>
                  </pic:spPr>
                </pic:pic>
              </a:graphicData>
            </a:graphic>
          </wp:inline>
        </w:drawing>
      </w:r>
    </w:p>
    <w:p w14:paraId="6D2119E6" w14:textId="77777777" w:rsidR="003B2213" w:rsidRDefault="00000000">
      <w:pPr>
        <w:jc w:val="both"/>
      </w:pPr>
      <w: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7406F9C1" w14:textId="7D8A2FBF" w:rsidR="00902F9D" w:rsidRDefault="00000000">
      <w:pPr>
        <w:jc w:val="both"/>
        <w:rPr>
          <w:rFonts w:ascii="Liberation Serif" w:hAnsi="Liberation Serif"/>
          <w:i/>
          <w:iCs/>
          <w:lang w:bidi="hi-IN"/>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 xml:space="preserve">Table </w:t>
      </w:r>
      <w:r w:rsidR="003B2213" w:rsidRPr="003B2213">
        <w:rPr>
          <w:rFonts w:ascii="Liberation Serif" w:hAnsi="Liberation Serif"/>
          <w:i/>
          <w:iCs/>
          <w:lang w:bidi="hi-IN"/>
        </w:rPr>
        <w:t>A6</w:t>
      </w:r>
      <w:r>
        <w:rPr>
          <w:rFonts w:ascii="Liberation Serif" w:hAnsi="Liberation Serif"/>
          <w:i/>
          <w:iCs/>
          <w:lang w:bidi="hi-IN"/>
        </w:rPr>
        <w:t>.</w:t>
      </w:r>
    </w:p>
    <w:p w14:paraId="59724658" w14:textId="2489046C" w:rsidR="003B2213" w:rsidRPr="003B2213" w:rsidRDefault="003B2213" w:rsidP="0007472F">
      <w:pPr>
        <w:jc w:val="center"/>
      </w:pPr>
      <w:r>
        <w:rPr>
          <w:noProof/>
        </w:rPr>
        <w:lastRenderedPageBreak/>
        <w:drawing>
          <wp:inline distT="0" distB="0" distL="0" distR="0" wp14:anchorId="377B7608" wp14:editId="25B0D439">
            <wp:extent cx="5331887" cy="2933700"/>
            <wp:effectExtent l="0" t="0" r="0" b="0"/>
            <wp:docPr id="1852973396" name="Picture 2"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73396" name="Picture 2" descr="A screenshot of a pap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5607" cy="2957755"/>
                    </a:xfrm>
                    <a:prstGeom prst="rect">
                      <a:avLst/>
                    </a:prstGeom>
                  </pic:spPr>
                </pic:pic>
              </a:graphicData>
            </a:graphic>
          </wp:inline>
        </w:drawing>
      </w:r>
    </w:p>
    <w:p w14:paraId="4AA867C2" w14:textId="77777777" w:rsidR="00902F9D" w:rsidRDefault="00000000">
      <w:pPr>
        <w:jc w:val="both"/>
        <w:rPr>
          <w:i/>
          <w:iCs/>
        </w:rPr>
      </w:pPr>
      <w:r>
        <w:rPr>
          <w:rFonts w:ascii="Liberation Serif" w:hAnsi="Liberation Serif"/>
          <w:i/>
          <w:iCs/>
          <w:lang w:bidi="hi-IN"/>
        </w:rPr>
        <w:t xml:space="preserve">We also added the following footnote in the Descriptive Statistics section where we discuss moisture measurement of the seed samples: </w:t>
      </w:r>
    </w:p>
    <w:p w14:paraId="7FFB34F0" w14:textId="1ADC1737" w:rsidR="00902F9D" w:rsidRPr="003B2213" w:rsidRDefault="00000000" w:rsidP="003B2213">
      <w:pPr>
        <w:ind w:left="709"/>
        <w:jc w:val="both"/>
        <w:rPr>
          <w:i/>
          <w:iCs/>
        </w:rPr>
      </w:pPr>
      <w:r>
        <w:rPr>
          <w:i/>
          <w:iCs/>
        </w:rPr>
        <w:t>“</w:t>
      </w:r>
      <w:r w:rsidR="003B2213" w:rsidRPr="003B2213">
        <w:rPr>
          <w:i/>
          <w:iCs/>
        </w:rPr>
        <w:t>Moisture is a powerful predictor of maize seed performance. For instance, Afzal et al. (2017) report</w:t>
      </w:r>
      <w:r w:rsidR="003B2213">
        <w:rPr>
          <w:i/>
          <w:iCs/>
        </w:rPr>
        <w:t xml:space="preserve"> </w:t>
      </w:r>
      <w:r w:rsidR="003B2213" w:rsidRPr="003B2213">
        <w:rPr>
          <w:i/>
          <w:iCs/>
        </w:rPr>
        <w:t>germination rates of about 85% for seed with a moisture content of 12.7% versus germination rates</w:t>
      </w:r>
      <w:r w:rsidR="003B2213">
        <w:rPr>
          <w:i/>
          <w:iCs/>
        </w:rPr>
        <w:t xml:space="preserve"> </w:t>
      </w:r>
      <w:r w:rsidR="003B2213" w:rsidRPr="003B2213">
        <w:rPr>
          <w:i/>
          <w:iCs/>
        </w:rPr>
        <w:t>of only 50% for the same seed with a moisture content of 15.6% in a study in Pakistan. Experts we</w:t>
      </w:r>
      <w:r w:rsidR="003B2213">
        <w:rPr>
          <w:i/>
          <w:iCs/>
        </w:rPr>
        <w:t xml:space="preserve"> </w:t>
      </w:r>
      <w:r w:rsidR="003B2213" w:rsidRPr="003B2213">
        <w:rPr>
          <w:i/>
          <w:iCs/>
        </w:rPr>
        <w:t>consulted to develop the training on proper seed handling and storage follow this rule of thumb: an</w:t>
      </w:r>
      <w:r w:rsidR="003B2213">
        <w:rPr>
          <w:i/>
          <w:iCs/>
        </w:rPr>
        <w:t xml:space="preserve"> </w:t>
      </w:r>
      <w:r w:rsidR="003B2213" w:rsidRPr="003B2213">
        <w:rPr>
          <w:i/>
          <w:iCs/>
        </w:rPr>
        <w:t>increase of moisture by one percentage point reduces shelf-life by half.</w:t>
      </w:r>
      <w:r>
        <w:rPr>
          <w:i/>
          <w:iCs/>
        </w:rPr>
        <w:t>”</w:t>
      </w:r>
    </w:p>
    <w:p w14:paraId="632AC582" w14:textId="77777777" w:rsidR="00902F9D" w:rsidRDefault="00000000">
      <w:pPr>
        <w:jc w:val="both"/>
      </w:pPr>
      <w:r>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t>actually purchase</w:t>
      </w:r>
      <w:proofErr w:type="gramEnd"/>
      <w:r>
        <w:t xml:space="preserve"> repackaged seeds.</w:t>
      </w:r>
    </w:p>
    <w:p w14:paraId="7AE802D6" w14:textId="442346B0" w:rsidR="00902F9D" w:rsidRDefault="00000000">
      <w:pPr>
        <w:jc w:val="both"/>
      </w:pPr>
      <w:r>
        <w:rPr>
          <w:i/>
          <w:iCs/>
        </w:rPr>
        <w:t xml:space="preserve">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w:t>
      </w:r>
      <w:r w:rsidR="003B2213" w:rsidRPr="003B2213">
        <w:rPr>
          <w:i/>
          <w:iCs/>
        </w:rPr>
        <w:t>12</w:t>
      </w:r>
      <w:r>
        <w:rPr>
          <w:i/>
          <w:iCs/>
        </w:rPr>
        <w:t>:</w:t>
      </w:r>
    </w:p>
    <w:p w14:paraId="31C1BA30" w14:textId="4A228C7F" w:rsidR="00902F9D" w:rsidRPr="003B2213" w:rsidRDefault="00000000" w:rsidP="003B2213">
      <w:pPr>
        <w:ind w:left="709"/>
        <w:jc w:val="both"/>
        <w:rPr>
          <w:i/>
          <w:iCs/>
        </w:rPr>
      </w:pPr>
      <w:r w:rsidRPr="003B2213">
        <w:rPr>
          <w:i/>
          <w:iCs/>
        </w:rPr>
        <w:t>“</w:t>
      </w:r>
      <w:r w:rsidR="003B2213" w:rsidRPr="003B2213">
        <w:rPr>
          <w:i/>
          <w:iCs/>
        </w:rPr>
        <w:t>Even though repackaging seed from original larger bags from seed companies into smaller bags to offer quantities that are convenient and affordable to their clients is common (around half of the agro-dealers in our sample report to do so), the samples that enumerators bought were all original, sealed bags.</w:t>
      </w:r>
      <w:r w:rsidRPr="003B2213">
        <w:rPr>
          <w:i/>
          <w:iCs/>
        </w:rPr>
        <w:t>”</w:t>
      </w:r>
    </w:p>
    <w:p w14:paraId="7010933C" w14:textId="77777777" w:rsidR="00902F9D" w:rsidRDefault="00000000">
      <w:pPr>
        <w:jc w:val="both"/>
      </w:pPr>
      <w: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14:paraId="7A4A55C6" w14:textId="10C994DA" w:rsidR="003B2213" w:rsidRDefault="00000000" w:rsidP="003B2213">
      <w:pPr>
        <w:jc w:val="both"/>
        <w:rPr>
          <w:i/>
          <w:iCs/>
        </w:rPr>
      </w:pPr>
      <w:r>
        <w:rPr>
          <w:i/>
          <w:iCs/>
        </w:rPr>
        <w:t>We can confidently eliminate the reviewer’s concern, as the new Table A</w:t>
      </w:r>
      <w:r w:rsidR="003B2213">
        <w:rPr>
          <w:i/>
          <w:iCs/>
        </w:rPr>
        <w:t>7</w:t>
      </w:r>
      <w:r>
        <w:rPr>
          <w:i/>
          <w:iCs/>
        </w:rPr>
        <w:t xml:space="preserve"> (also above) now reports the raw scores for the different questions in the knowledge indices, showing substantial room for improvement in terms of agro-dealers knowledge about seed storage and handling at baseline.</w:t>
      </w:r>
    </w:p>
    <w:p w14:paraId="25F9114F" w14:textId="77777777" w:rsidR="003B2213" w:rsidRDefault="003B2213" w:rsidP="003B2213">
      <w:pPr>
        <w:jc w:val="both"/>
        <w:rPr>
          <w:i/>
          <w:iCs/>
        </w:rPr>
      </w:pPr>
    </w:p>
    <w:p w14:paraId="191B0746" w14:textId="513145EC"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lastRenderedPageBreak/>
        <w:t>Reviewer 1</w:t>
      </w:r>
      <w:r w:rsidR="00EF1555">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2</w:t>
      </w:r>
      <w:r w:rsidR="00EF1555">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Mechanisms</w:t>
      </w:r>
    </w:p>
    <w:p w14:paraId="3CF2CAD1" w14:textId="77777777" w:rsidR="00902F9D" w:rsidRDefault="00000000">
      <w:pPr>
        <w:jc w:val="both"/>
      </w:pPr>
      <w:r>
        <w:t xml:space="preserve">The paper correctly outlines the multiple pathways through which the ratings system could </w:t>
      </w:r>
      <w:proofErr w:type="gramStart"/>
      <w:r>
        <w:t>have an effect on</w:t>
      </w:r>
      <w:proofErr w:type="gramEnd"/>
      <w:r>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14:paraId="495B8B38" w14:textId="77777777" w:rsidR="00902F9D" w:rsidRDefault="00000000">
      <w:pPr>
        <w:jc w:val="both"/>
      </w:pPr>
      <w:r>
        <w:t>The paper tries to provide evidence to distinguish between these different mechanisms, but it should provide additional context and information.</w:t>
      </w:r>
    </w:p>
    <w:p w14:paraId="57F8AE45" w14:textId="77777777" w:rsidR="00902F9D" w:rsidRDefault="00000000">
      <w:pPr>
        <w:pStyle w:val="Heading4"/>
        <w:rPr>
          <w:rFonts w:ascii="Times New Roman" w:hAnsi="Times New Roman" w:cs="Times New Roman"/>
        </w:rPr>
      </w:pPr>
      <w:r>
        <w:rPr>
          <w:rFonts w:ascii="Times New Roman" w:hAnsi="Times New Roman" w:cs="Times New Roman"/>
        </w:rPr>
        <w:t xml:space="preserve">Farmer </w:t>
      </w:r>
      <w:proofErr w:type="gramStart"/>
      <w:r>
        <w:rPr>
          <w:rFonts w:ascii="Times New Roman" w:hAnsi="Times New Roman" w:cs="Times New Roman"/>
        </w:rPr>
        <w:t>mis-perceptions</w:t>
      </w:r>
      <w:proofErr w:type="gramEnd"/>
    </w:p>
    <w:p w14:paraId="7A427F7B" w14:textId="77777777" w:rsidR="00902F9D" w:rsidRDefault="00000000">
      <w:pPr>
        <w:jc w:val="both"/>
      </w:pPr>
      <w:r>
        <w:t xml:space="preserve">To assess if initial </w:t>
      </w:r>
      <w:proofErr w:type="gramStart"/>
      <w:r>
        <w:t>mis-perceptions</w:t>
      </w:r>
      <w:proofErr w:type="gramEnd"/>
      <w:r>
        <w:t xml:space="preserve"> are driving the results, the paper should clarify if, given differences in clime, soil and cultivation practices of the farmer, there is an “optimal” seed variety. (As an aside, in a footnote or appendix the paper should also provide details about the pros and cons of hybrid seeds relative to OPV seeds, and between different varieties of hybrid seeds -Longe7H vs </w:t>
      </w:r>
      <w:proofErr w:type="spellStart"/>
      <w:r>
        <w:t>Longe</w:t>
      </w:r>
      <w:proofErr w:type="spellEnd"/>
      <w:r>
        <w:t xml:space="preserve"> 10H- and OPV seeds -</w:t>
      </w:r>
      <w:proofErr w:type="spellStart"/>
      <w:r>
        <w:t>Longe</w:t>
      </w:r>
      <w:proofErr w:type="spellEnd"/>
      <w:r>
        <w:t xml:space="preserve"> 4vs </w:t>
      </w:r>
      <w:proofErr w:type="spellStart"/>
      <w:r>
        <w:t>Longe</w:t>
      </w:r>
      <w:proofErr w:type="spellEnd"/>
      <w:r>
        <w:t xml:space="preserve"> 5).</w:t>
      </w:r>
    </w:p>
    <w:p w14:paraId="0974D36E" w14:textId="77777777" w:rsidR="00EF1555" w:rsidRDefault="00000000">
      <w:pPr>
        <w:jc w:val="both"/>
      </w:pPr>
      <w:r>
        <w:t xml:space="preserve">If an optimal variety does </w:t>
      </w:r>
      <w:proofErr w:type="gramStart"/>
      <w:r>
        <w:t>exists</w:t>
      </w:r>
      <w:proofErr w:type="gramEnd"/>
      <w:r>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73404D2A" w14:textId="054A2B89" w:rsidR="00902F9D" w:rsidRPr="00EF1555" w:rsidRDefault="00000000">
      <w:pPr>
        <w:jc w:val="both"/>
      </w:pPr>
      <w:r>
        <w:rPr>
          <w:i/>
          <w:iCs/>
        </w:rPr>
        <w:t xml:space="preserve">Farmers in the study area are likely to know that different varieties perform differently in terms of yield and other traits. </w:t>
      </w:r>
      <w:r w:rsidR="00EF1555" w:rsidRPr="00EF1555">
        <w:rPr>
          <w:i/>
          <w:iCs/>
        </w:rPr>
        <w:t xml:space="preserve">They are probably </w:t>
      </w:r>
      <w:r w:rsidR="00EF1555">
        <w:rPr>
          <w:i/>
          <w:iCs/>
        </w:rPr>
        <w:t>also</w:t>
      </w:r>
      <w:r w:rsidR="00EF1555" w:rsidRPr="00EF1555">
        <w:rPr>
          <w:i/>
          <w:iCs/>
        </w:rPr>
        <w:t xml:space="preserve"> aware </w:t>
      </w:r>
      <w:r>
        <w:rPr>
          <w:i/>
          <w:iCs/>
        </w:rPr>
        <w:t>that hybrid maize seed is likely to out-perform seed saved from a prior harvest of hybrid maize, and open pollinated varieties of maize.</w:t>
      </w:r>
      <w:r>
        <w:rPr>
          <w:rStyle w:val="FootnoteReference"/>
          <w:i/>
          <w:iCs/>
        </w:rPr>
        <w:footnoteReference w:id="1"/>
      </w:r>
      <w:r>
        <w:rPr>
          <w:i/>
          <w:iCs/>
        </w:rPr>
        <w:t xml:space="preserve"> On the other hand, they may not know exactly which hybrid or OPV is optimal for their specific climatic, farm, or economic conditions. That is because there are important interaction effects between climate,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w:t>
      </w:r>
      <w:proofErr w:type="spellStart"/>
      <w:r>
        <w:rPr>
          <w:i/>
          <w:iCs/>
        </w:rPr>
        <w:t>Myezi</w:t>
      </w:r>
      <w:proofErr w:type="spellEnd"/>
      <w:r>
        <w:rPr>
          <w:i/>
          <w:iCs/>
        </w:rPr>
        <w:t xml:space="preserve"> </w:t>
      </w:r>
      <w:proofErr w:type="spellStart"/>
      <w:r>
        <w:rPr>
          <w:i/>
          <w:iCs/>
        </w:rPr>
        <w:t>mitatu</w:t>
      </w:r>
      <w:proofErr w:type="spellEnd"/>
      <w:r>
        <w:rPr>
          <w:i/>
          <w:iCs/>
        </w:rPr>
        <w:t xml:space="preserve"> (mm3) might be the better choice. Moreover, farmers may face certain behavioral constraints that inhibit their ability to learn if, for example, they pay attention to minor or tangential attributes and miss the more important ones.</w:t>
      </w:r>
      <w:r>
        <w:rPr>
          <w:rStyle w:val="FootnoteReference"/>
          <w:i/>
          <w:iCs/>
        </w:rPr>
        <w:footnoteReference w:id="2"/>
      </w:r>
    </w:p>
    <w:p w14:paraId="5192209D" w14:textId="77777777" w:rsidR="00D17C77" w:rsidRDefault="00000000">
      <w:pPr>
        <w:jc w:val="both"/>
      </w:pPr>
      <w:r>
        <w:t xml:space="preserve">Related, the paper reports that 2/3 of farmers think that seeds from the agro-dealer are counterfeit or adulterated and use it as evidence of </w:t>
      </w:r>
      <w:proofErr w:type="gramStart"/>
      <w:r>
        <w:t>mis-perceptions</w:t>
      </w:r>
      <w:proofErr w:type="gramEnd"/>
      <w:r>
        <w:t xml:space="preserve">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w:t>
      </w:r>
    </w:p>
    <w:p w14:paraId="5D62EDE2" w14:textId="77777777" w:rsidR="00D17C77" w:rsidRDefault="00D17C77" w:rsidP="00D17C77">
      <w:pPr>
        <w:jc w:val="both"/>
        <w:rPr>
          <w:i/>
          <w:iCs/>
        </w:rPr>
      </w:pPr>
      <w:r w:rsidRPr="00D17C77">
        <w:rPr>
          <w:i/>
          <w:iCs/>
        </w:rPr>
        <w:t>The result to which the reviewer refers here</w:t>
      </w:r>
      <w:r>
        <w:rPr>
          <w:i/>
          <w:iCs/>
        </w:rPr>
        <w:t xml:space="preserve"> derives from a question that was asked to obtain a general picture of farmers’ perception of agro-input dealers and counterfeiting: “Do you think that maize seed that you can buy at agro-input dealers is counterfeit/adulterated?”. There are other questions that go into much more detail, asking about seed sold by </w:t>
      </w:r>
      <w:proofErr w:type="gramStart"/>
      <w:r>
        <w:rPr>
          <w:i/>
          <w:iCs/>
        </w:rPr>
        <w:t>particular dealers</w:t>
      </w:r>
      <w:proofErr w:type="gramEnd"/>
      <w:r>
        <w:rPr>
          <w:i/>
          <w:iCs/>
        </w:rPr>
        <w:t xml:space="preserve"> and about </w:t>
      </w:r>
      <w:r>
        <w:rPr>
          <w:i/>
          <w:iCs/>
        </w:rPr>
        <w:lastRenderedPageBreak/>
        <w:t xml:space="preserve">specific characteristics of the seed (drought tolerance, yield premium, etc.). </w:t>
      </w:r>
      <w:r w:rsidRPr="00D17C77">
        <w:rPr>
          <w:i/>
          <w:iCs/>
        </w:rPr>
        <w:t>We have clarified this in the text:</w:t>
      </w:r>
    </w:p>
    <w:p w14:paraId="6D1D5319" w14:textId="1150500E" w:rsidR="00902F9D" w:rsidRDefault="00000000" w:rsidP="00D17C77">
      <w:pPr>
        <w:ind w:left="709"/>
        <w:jc w:val="both"/>
        <w:rPr>
          <w:i/>
          <w:iCs/>
        </w:rPr>
      </w:pPr>
      <w:r>
        <w:rPr>
          <w:i/>
          <w:iCs/>
        </w:rPr>
        <w:t>“</w:t>
      </w:r>
      <w:r w:rsidR="00D17C77" w:rsidRPr="00D17C77">
        <w:rPr>
          <w:i/>
          <w:iCs/>
        </w:rPr>
        <w:t>We intentionally kept this question general—that is, about maize seed which can be bought</w:t>
      </w:r>
      <w:r w:rsidR="00D17C77">
        <w:rPr>
          <w:i/>
          <w:iCs/>
        </w:rPr>
        <w:t xml:space="preserve"> </w:t>
      </w:r>
      <w:r w:rsidR="00D17C77" w:rsidRPr="00D17C77">
        <w:rPr>
          <w:i/>
          <w:iCs/>
        </w:rPr>
        <w:t>at any agro-dealer without specifying a</w:t>
      </w:r>
      <w:r w:rsidR="00D17C77">
        <w:rPr>
          <w:i/>
          <w:iCs/>
        </w:rPr>
        <w:t xml:space="preserve"> </w:t>
      </w:r>
      <w:r w:rsidR="00D17C77" w:rsidRPr="00D17C77">
        <w:rPr>
          <w:i/>
          <w:iCs/>
        </w:rPr>
        <w:t>particular variety—to obtain an overall idea about farmers’ sentiments regarding maize</w:t>
      </w:r>
      <w:r w:rsidR="00D17C77">
        <w:rPr>
          <w:i/>
          <w:iCs/>
        </w:rPr>
        <w:t xml:space="preserve"> </w:t>
      </w:r>
      <w:r w:rsidR="00D17C77" w:rsidRPr="00D17C77">
        <w:rPr>
          <w:i/>
          <w:iCs/>
        </w:rPr>
        <w:t>seed at agro-dealers.</w:t>
      </w:r>
      <w:r>
        <w:rPr>
          <w:i/>
          <w:iCs/>
        </w:rPr>
        <w:t>”</w:t>
      </w:r>
    </w:p>
    <w:p w14:paraId="1909C791" w14:textId="7D4F18E9" w:rsidR="00902F9D" w:rsidRDefault="00000000">
      <w:pPr>
        <w:jc w:val="both"/>
      </w:pPr>
      <w:r>
        <w:t>To be clear</w:t>
      </w:r>
      <w:r w:rsidR="00D17C77">
        <w:t xml:space="preserve">, </w:t>
      </w:r>
      <w:r>
        <w:t>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14:paraId="2739C54B" w14:textId="77777777" w:rsidR="00902F9D" w:rsidRDefault="00000000">
      <w:pPr>
        <w:jc w:val="both"/>
      </w:pPr>
      <w:r>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t>agrodealer</w:t>
      </w:r>
      <w:proofErr w:type="spellEnd"/>
      <w:r>
        <w:t xml:space="preserve"> with differences in the quality of the storage facilities.</w:t>
      </w:r>
    </w:p>
    <w:p w14:paraId="6E5289E3" w14:textId="77777777" w:rsidR="00902F9D" w:rsidRDefault="00000000">
      <w:pPr>
        <w:jc w:val="both"/>
      </w:pPr>
      <w:r>
        <w:t xml:space="preserve">In addition, some farmers might be willing to trade-off lower quality for a lower price, and yet pricing is not reflected in the ratings. Finally, ratings are also silent about how seeds were </w:t>
      </w:r>
      <w:proofErr w:type="gramStart"/>
      <w:r>
        <w:t>actually sold</w:t>
      </w:r>
      <w:proofErr w:type="gramEnd"/>
      <w:r>
        <w:t>, whether in the original packages as sold by the manufacturer, or in smaller bags repackaged by the agro-dealer.</w:t>
      </w:r>
    </w:p>
    <w:p w14:paraId="4F9CAF27" w14:textId="77777777" w:rsidR="00F046CB" w:rsidRDefault="00000000">
      <w:pPr>
        <w:jc w:val="both"/>
      </w:pPr>
      <w:r>
        <w:t xml:space="preserve">In short, the authors should explain why they decided to use a “generic” ratings system (one rating per agro-dealer), instead of an alternative one that was explicit about the seed variety and how it was sold (i.e. </w:t>
      </w:r>
      <w:proofErr w:type="spellStart"/>
      <w:r>
        <w:t>Longe</w:t>
      </w:r>
      <w:proofErr w:type="spellEnd"/>
      <w:r>
        <w:t xml:space="preserve"> 10H manufactured by X sold by agro-dealer Y in the original package).</w:t>
      </w:r>
    </w:p>
    <w:p w14:paraId="37BB4807" w14:textId="77777777" w:rsidR="00F658D5" w:rsidRDefault="00000000" w:rsidP="00F72845">
      <w:pPr>
        <w:jc w:val="both"/>
        <w:rPr>
          <w:i/>
          <w:iCs/>
        </w:rPr>
      </w:pPr>
      <w:r>
        <w:rPr>
          <w:i/>
          <w:iCs/>
        </w:rPr>
        <w:t xml:space="preserve">It is true that agro-dealers stock different </w:t>
      </w:r>
      <w:r w:rsidR="00B87B67">
        <w:rPr>
          <w:i/>
          <w:iCs/>
        </w:rPr>
        <w:t>seeds</w:t>
      </w:r>
      <w:r>
        <w:rPr>
          <w:i/>
          <w:iCs/>
        </w:rPr>
        <w:t xml:space="preserve"> with different attributes</w:t>
      </w:r>
      <w:r w:rsidR="00B87B67">
        <w:rPr>
          <w:i/>
          <w:iCs/>
        </w:rPr>
        <w:t xml:space="preserve">, </w:t>
      </w:r>
      <w:r w:rsidR="00B87B67" w:rsidRPr="00B87B67">
        <w:rPr>
          <w:i/>
          <w:iCs/>
        </w:rPr>
        <w:t xml:space="preserve">that </w:t>
      </w:r>
      <w:r w:rsidR="00F046CB">
        <w:rPr>
          <w:i/>
          <w:iCs/>
        </w:rPr>
        <w:t>different</w:t>
      </w:r>
      <w:r w:rsidR="00B87B67" w:rsidRPr="00B87B67">
        <w:rPr>
          <w:i/>
          <w:iCs/>
        </w:rPr>
        <w:t xml:space="preserve"> attributes may be weighed against one another</w:t>
      </w:r>
      <w:r w:rsidR="00B87B67">
        <w:rPr>
          <w:i/>
          <w:iCs/>
        </w:rPr>
        <w:t xml:space="preserve">, </w:t>
      </w:r>
      <w:r>
        <w:rPr>
          <w:i/>
          <w:iCs/>
        </w:rPr>
        <w:t xml:space="preserve">and </w:t>
      </w:r>
      <w:r w:rsidR="00D17C77">
        <w:rPr>
          <w:i/>
          <w:iCs/>
        </w:rPr>
        <w:t>that</w:t>
      </w:r>
      <w:r>
        <w:rPr>
          <w:i/>
          <w:iCs/>
        </w:rPr>
        <w:t xml:space="preserve"> the use of a single rating may mask differences in the type</w:t>
      </w:r>
      <w:r w:rsidR="00B87B67">
        <w:rPr>
          <w:i/>
          <w:iCs/>
        </w:rPr>
        <w:t>s</w:t>
      </w:r>
      <w:r>
        <w:rPr>
          <w:i/>
          <w:iCs/>
        </w:rPr>
        <w:t xml:space="preserve"> of seeds with differences in the quality of the storage facilities</w:t>
      </w:r>
      <w:r w:rsidR="00B87B67">
        <w:rPr>
          <w:i/>
          <w:iCs/>
        </w:rPr>
        <w:t xml:space="preserve">. </w:t>
      </w:r>
      <w:r>
        <w:rPr>
          <w:i/>
          <w:iCs/>
        </w:rPr>
        <w:t xml:space="preserve">As such, it would have </w:t>
      </w:r>
      <w:r w:rsidR="00B87B67">
        <w:rPr>
          <w:i/>
          <w:iCs/>
        </w:rPr>
        <w:t xml:space="preserve">indeed </w:t>
      </w:r>
      <w:r>
        <w:rPr>
          <w:i/>
          <w:iCs/>
        </w:rPr>
        <w:t>been better to iterate over all seed types, and even differentiate on other dimensions (</w:t>
      </w:r>
      <w:r w:rsidR="00D17C77">
        <w:rPr>
          <w:i/>
          <w:iCs/>
        </w:rPr>
        <w:t>for example,</w:t>
      </w:r>
      <w:r>
        <w:rPr>
          <w:i/>
          <w:iCs/>
        </w:rPr>
        <w:t xml:space="preserve"> “Bazooka” produced by </w:t>
      </w:r>
      <w:proofErr w:type="spellStart"/>
      <w:r>
        <w:rPr>
          <w:i/>
          <w:iCs/>
        </w:rPr>
        <w:t>Naseco</w:t>
      </w:r>
      <w:proofErr w:type="spellEnd"/>
      <w:r>
        <w:rPr>
          <w:i/>
          <w:iCs/>
        </w:rPr>
        <w:t xml:space="preserve"> in an original 2 kg bag versus “Bazooka” produced by </w:t>
      </w:r>
      <w:proofErr w:type="spellStart"/>
      <w:r>
        <w:rPr>
          <w:i/>
          <w:iCs/>
        </w:rPr>
        <w:t>Naseco</w:t>
      </w:r>
      <w:proofErr w:type="spellEnd"/>
      <w:r>
        <w:rPr>
          <w:i/>
          <w:iCs/>
        </w:rPr>
        <w:t xml:space="preserve">, repackaged in a 0.5kg polyethylene bag). However, that would have made the rating by farmers </w:t>
      </w:r>
      <w:r w:rsidRPr="00B87B67">
        <w:t>much</w:t>
      </w:r>
      <w:r>
        <w:rPr>
          <w:i/>
          <w:iCs/>
        </w:rPr>
        <w:t xml:space="preserve"> more tedious</w:t>
      </w:r>
      <w:r w:rsidR="00B87B67">
        <w:rPr>
          <w:i/>
          <w:iCs/>
        </w:rPr>
        <w:t xml:space="preserve">, and </w:t>
      </w:r>
      <w:r w:rsidR="00B87B67" w:rsidRPr="00B87B67">
        <w:rPr>
          <w:i/>
          <w:iCs/>
        </w:rPr>
        <w:t>we wanted to test a scalable solution.</w:t>
      </w:r>
      <w:r w:rsidR="00B87B67">
        <w:rPr>
          <w:i/>
          <w:iCs/>
        </w:rPr>
        <w:t xml:space="preserve"> </w:t>
      </w:r>
      <w:r w:rsidR="00F046CB">
        <w:rPr>
          <w:i/>
          <w:iCs/>
        </w:rPr>
        <w:t>As such, o</w:t>
      </w:r>
      <w:r w:rsidR="00B87B67">
        <w:rPr>
          <w:i/>
          <w:iCs/>
        </w:rPr>
        <w:t xml:space="preserve">ur </w:t>
      </w:r>
      <w:r>
        <w:rPr>
          <w:i/>
          <w:iCs/>
        </w:rPr>
        <w:t xml:space="preserve">generic rating system </w:t>
      </w:r>
      <w:r w:rsidR="00B87B67">
        <w:rPr>
          <w:i/>
          <w:iCs/>
        </w:rPr>
        <w:t>does</w:t>
      </w:r>
      <w:r>
        <w:rPr>
          <w:i/>
          <w:iCs/>
        </w:rPr>
        <w:t xml:space="preserve"> not </w:t>
      </w:r>
      <w:r w:rsidR="00B87B67">
        <w:rPr>
          <w:i/>
          <w:iCs/>
        </w:rPr>
        <w:t>provide</w:t>
      </w:r>
      <w:r>
        <w:rPr>
          <w:i/>
          <w:iCs/>
        </w:rPr>
        <w:t xml:space="preserve"> an accurate </w:t>
      </w:r>
      <w:r w:rsidR="00B87B67">
        <w:rPr>
          <w:i/>
          <w:iCs/>
        </w:rPr>
        <w:t xml:space="preserve">quality </w:t>
      </w:r>
      <w:r>
        <w:rPr>
          <w:i/>
          <w:iCs/>
        </w:rPr>
        <w:t xml:space="preserve">measure of each individual seed type, but rather a </w:t>
      </w:r>
      <w:r w:rsidR="00B87B67">
        <w:rPr>
          <w:i/>
          <w:iCs/>
        </w:rPr>
        <w:t xml:space="preserve">general </w:t>
      </w:r>
      <w:r>
        <w:rPr>
          <w:i/>
          <w:iCs/>
        </w:rPr>
        <w:t xml:space="preserve">signal of the </w:t>
      </w:r>
      <w:r w:rsidR="00F72845">
        <w:rPr>
          <w:i/>
          <w:iCs/>
        </w:rPr>
        <w:t xml:space="preserve">overall </w:t>
      </w:r>
      <w:r>
        <w:rPr>
          <w:i/>
          <w:iCs/>
        </w:rPr>
        <w:t xml:space="preserve">quality of products and services at the agro-dealer level. This is also how existing </w:t>
      </w:r>
      <w:r w:rsidR="00B87B67">
        <w:rPr>
          <w:i/>
          <w:iCs/>
        </w:rPr>
        <w:t>rating</w:t>
      </w:r>
      <w:r>
        <w:rPr>
          <w:i/>
          <w:iCs/>
        </w:rPr>
        <w:t xml:space="preserve"> systems work</w:t>
      </w:r>
      <w:r w:rsidR="00B87B67">
        <w:rPr>
          <w:i/>
          <w:iCs/>
        </w:rPr>
        <w:t xml:space="preserve">: for example, </w:t>
      </w:r>
      <w:r w:rsidR="00B87B67" w:rsidRPr="00B87B67">
        <w:rPr>
          <w:i/>
          <w:iCs/>
        </w:rPr>
        <w:t>Tripadvisor</w:t>
      </w:r>
      <w:r w:rsidR="00B87B67">
        <w:rPr>
          <w:i/>
          <w:iCs/>
        </w:rPr>
        <w:t xml:space="preserve"> </w:t>
      </w:r>
      <w:r>
        <w:rPr>
          <w:i/>
          <w:iCs/>
        </w:rPr>
        <w:t>ask</w:t>
      </w:r>
      <w:r w:rsidR="00B87B67">
        <w:rPr>
          <w:i/>
          <w:iCs/>
        </w:rPr>
        <w:t>s customers</w:t>
      </w:r>
      <w:r>
        <w:rPr>
          <w:i/>
          <w:iCs/>
        </w:rPr>
        <w:t xml:space="preserve"> to rate a restaurant</w:t>
      </w:r>
      <w:r w:rsidR="00B87B67">
        <w:rPr>
          <w:i/>
          <w:iCs/>
        </w:rPr>
        <w:t xml:space="preserve"> experience, </w:t>
      </w:r>
      <w:r>
        <w:rPr>
          <w:i/>
          <w:iCs/>
        </w:rPr>
        <w:t>not each meal that is on the menu</w:t>
      </w:r>
      <w:r w:rsidR="00F658D5">
        <w:rPr>
          <w:i/>
          <w:iCs/>
        </w:rPr>
        <w:t>.</w:t>
      </w:r>
    </w:p>
    <w:p w14:paraId="707E4ACE" w14:textId="08E61B97" w:rsidR="00F72845" w:rsidRDefault="00F046CB" w:rsidP="00F72845">
      <w:pPr>
        <w:jc w:val="both"/>
        <w:rPr>
          <w:i/>
          <w:iCs/>
        </w:rPr>
      </w:pPr>
      <w:r w:rsidRPr="00F046CB">
        <w:rPr>
          <w:i/>
          <w:iCs/>
        </w:rPr>
        <w:t>Nevertheless</w:t>
      </w:r>
      <w:r w:rsidR="00F658D5">
        <w:rPr>
          <w:i/>
          <w:iCs/>
        </w:rPr>
        <w:t xml:space="preserve">, </w:t>
      </w:r>
      <w:r w:rsidRPr="00F046CB">
        <w:rPr>
          <w:i/>
          <w:iCs/>
        </w:rPr>
        <w:t xml:space="preserve">we </w:t>
      </w:r>
      <w:r w:rsidR="00F72845">
        <w:rPr>
          <w:i/>
          <w:iCs/>
        </w:rPr>
        <w:t>acknowledge</w:t>
      </w:r>
      <w:r w:rsidRPr="00F046CB">
        <w:rPr>
          <w:i/>
          <w:iCs/>
        </w:rPr>
        <w:t xml:space="preserve"> the </w:t>
      </w:r>
      <w:r w:rsidR="00F72845" w:rsidRPr="00F046CB">
        <w:rPr>
          <w:i/>
          <w:iCs/>
        </w:rPr>
        <w:t>reviewer</w:t>
      </w:r>
      <w:r w:rsidR="00F72845">
        <w:rPr>
          <w:i/>
          <w:iCs/>
        </w:rPr>
        <w:t xml:space="preserve">’s </w:t>
      </w:r>
      <w:r>
        <w:rPr>
          <w:i/>
          <w:iCs/>
        </w:rPr>
        <w:t>concerns</w:t>
      </w:r>
      <w:r w:rsidRPr="00F046CB">
        <w:rPr>
          <w:i/>
          <w:iCs/>
        </w:rPr>
        <w:t xml:space="preserve"> </w:t>
      </w:r>
      <w:r w:rsidR="00F72845">
        <w:rPr>
          <w:i/>
          <w:iCs/>
        </w:rPr>
        <w:t>by adding</w:t>
      </w:r>
      <w:r w:rsidRPr="00F046CB">
        <w:rPr>
          <w:i/>
          <w:iCs/>
        </w:rPr>
        <w:t xml:space="preserve"> </w:t>
      </w:r>
      <w:r w:rsidR="00F72845">
        <w:rPr>
          <w:i/>
          <w:iCs/>
        </w:rPr>
        <w:t>footnote 9</w:t>
      </w:r>
      <w:r w:rsidRPr="00F046CB">
        <w:rPr>
          <w:i/>
          <w:iCs/>
        </w:rPr>
        <w:t>:</w:t>
      </w:r>
    </w:p>
    <w:p w14:paraId="689D93E9" w14:textId="77777777" w:rsidR="00F658D5" w:rsidRDefault="00F72845" w:rsidP="00F658D5">
      <w:pPr>
        <w:ind w:left="709"/>
        <w:jc w:val="both"/>
        <w:rPr>
          <w:i/>
          <w:iCs/>
        </w:rPr>
      </w:pPr>
      <w:r w:rsidRPr="00F72845">
        <w:rPr>
          <w:i/>
          <w:iCs/>
        </w:rPr>
        <w:t>“We acknowledge that agro-dealers stock different varieties, so that asking farmers to assess the</w:t>
      </w:r>
      <w:r>
        <w:rPr>
          <w:i/>
          <w:iCs/>
        </w:rPr>
        <w:t xml:space="preserve"> </w:t>
      </w:r>
      <w:r w:rsidRPr="00F72845">
        <w:rPr>
          <w:i/>
          <w:iCs/>
        </w:rPr>
        <w:t>quality of seed in general may mask some of the trade-offs customers may face. It would have been ideal</w:t>
      </w:r>
      <w:r>
        <w:rPr>
          <w:i/>
          <w:iCs/>
        </w:rPr>
        <w:t xml:space="preserve"> </w:t>
      </w:r>
      <w:r w:rsidRPr="00F72845">
        <w:rPr>
          <w:i/>
          <w:iCs/>
        </w:rPr>
        <w:t>to ask farmers to rate agro-dealers conditional on variety, manufacturer, and form sold (for example,</w:t>
      </w:r>
      <w:r>
        <w:rPr>
          <w:i/>
          <w:iCs/>
        </w:rPr>
        <w:t xml:space="preserve"> </w:t>
      </w:r>
      <w:r w:rsidRPr="00F72845">
        <w:rPr>
          <w:i/>
          <w:iCs/>
        </w:rPr>
        <w:t xml:space="preserve">to rate “Bazooka” produced by </w:t>
      </w:r>
      <w:proofErr w:type="spellStart"/>
      <w:r w:rsidRPr="00F72845">
        <w:rPr>
          <w:i/>
          <w:iCs/>
        </w:rPr>
        <w:t>Naseco</w:t>
      </w:r>
      <w:proofErr w:type="spellEnd"/>
      <w:r w:rsidRPr="00F72845">
        <w:rPr>
          <w:i/>
          <w:iCs/>
        </w:rPr>
        <w:t xml:space="preserve"> in an original </w:t>
      </w:r>
      <w:r w:rsidR="00F658D5" w:rsidRPr="00F72845">
        <w:rPr>
          <w:i/>
          <w:iCs/>
        </w:rPr>
        <w:t>two-kilogram</w:t>
      </w:r>
      <w:r w:rsidRPr="00F72845">
        <w:rPr>
          <w:i/>
          <w:iCs/>
        </w:rPr>
        <w:t xml:space="preserve"> bag). However, this would have</w:t>
      </w:r>
      <w:r>
        <w:rPr>
          <w:i/>
          <w:iCs/>
        </w:rPr>
        <w:t xml:space="preserve"> </w:t>
      </w:r>
      <w:r w:rsidRPr="00F72845">
        <w:rPr>
          <w:i/>
          <w:iCs/>
        </w:rPr>
        <w:t>made the rating process much more tedious and time consuming. Instead, we opted to test a scalable</w:t>
      </w:r>
      <w:r>
        <w:rPr>
          <w:i/>
          <w:iCs/>
        </w:rPr>
        <w:t xml:space="preserve"> </w:t>
      </w:r>
      <w:r w:rsidRPr="00F72845">
        <w:rPr>
          <w:i/>
          <w:iCs/>
        </w:rPr>
        <w:t>solution that generates a general signal of seed quality at the agro-dealer level.”</w:t>
      </w:r>
    </w:p>
    <w:p w14:paraId="1F76D75B" w14:textId="27C22E3A" w:rsidR="00F046CB" w:rsidRPr="00F72845" w:rsidRDefault="00F658D5" w:rsidP="00F658D5">
      <w:pPr>
        <w:jc w:val="both"/>
        <w:rPr>
          <w:i/>
          <w:iCs/>
        </w:rPr>
      </w:pPr>
      <w:r w:rsidRPr="00F658D5">
        <w:rPr>
          <w:i/>
          <w:iCs/>
        </w:rPr>
        <w:t>Additionally, we framed many of the rating questions based on how specific quality attributes were advertised, to account for the fact that maize varieties differ in their quality characteristics, and farmers may trade these attributes off against one another (see Table 1):</w:t>
      </w:r>
    </w:p>
    <w:p w14:paraId="3E27FBB8" w14:textId="77777777" w:rsidR="00902F9D" w:rsidRDefault="00000000" w:rsidP="0007472F">
      <w:pPr>
        <w:jc w:val="center"/>
        <w:rPr>
          <w:i/>
          <w:iCs/>
        </w:rPr>
      </w:pPr>
      <w:r>
        <w:rPr>
          <w:noProof/>
        </w:rPr>
        <w:lastRenderedPageBreak/>
        <w:drawing>
          <wp:inline distT="0" distB="0" distL="0" distR="0" wp14:anchorId="5727C66E" wp14:editId="0CB36C66">
            <wp:extent cx="3064380" cy="2052976"/>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10"/>
                    <a:stretch>
                      <a:fillRect/>
                    </a:stretch>
                  </pic:blipFill>
                  <pic:spPr bwMode="auto">
                    <a:xfrm>
                      <a:off x="0" y="0"/>
                      <a:ext cx="3153729" cy="2112835"/>
                    </a:xfrm>
                    <a:prstGeom prst="rect">
                      <a:avLst/>
                    </a:prstGeom>
                  </pic:spPr>
                </pic:pic>
              </a:graphicData>
            </a:graphic>
          </wp:inline>
        </w:drawing>
      </w:r>
    </w:p>
    <w:p w14:paraId="2ED3DC61" w14:textId="77777777" w:rsidR="00902F9D" w:rsidRDefault="00000000">
      <w:pPr>
        <w:pStyle w:val="Heading4"/>
        <w:rPr>
          <w:rFonts w:ascii="Times New Roman" w:hAnsi="Times New Roman" w:cs="Times New Roman"/>
        </w:rPr>
      </w:pPr>
      <w:r>
        <w:rPr>
          <w:rFonts w:ascii="Times New Roman" w:hAnsi="Times New Roman" w:cs="Times New Roman"/>
        </w:rPr>
        <w:t>Agro-dealer quality</w:t>
      </w:r>
    </w:p>
    <w:p w14:paraId="0118E1FA" w14:textId="77777777" w:rsidR="00D53864" w:rsidRDefault="00000000">
      <w:pPr>
        <w:jc w:val="both"/>
      </w:pPr>
      <w: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14:paraId="540E7FBE" w14:textId="3DD720FA" w:rsidR="00902F9D" w:rsidRPr="00D53864" w:rsidRDefault="00000000">
      <w:pPr>
        <w:jc w:val="both"/>
      </w:pPr>
      <w:r>
        <w:rPr>
          <w:i/>
          <w:iCs/>
        </w:rPr>
        <w:t xml:space="preserve">There are </w:t>
      </w:r>
      <w:proofErr w:type="gramStart"/>
      <w:r>
        <w:rPr>
          <w:i/>
          <w:iCs/>
        </w:rPr>
        <w:t>actually between</w:t>
      </w:r>
      <w:proofErr w:type="gramEnd"/>
      <w:r>
        <w:rPr>
          <w:i/>
          <w:iCs/>
        </w:rPr>
        <w:t xml:space="preserve"> 1 and 18 agro-dealers in a catchment area (with 3 on average). This is indicated in section 5.1: </w:t>
      </w:r>
    </w:p>
    <w:p w14:paraId="4B477916" w14:textId="362A9C24" w:rsidR="00902F9D" w:rsidRDefault="00000000" w:rsidP="00D53864">
      <w:pPr>
        <w:ind w:left="709"/>
        <w:jc w:val="both"/>
        <w:rPr>
          <w:i/>
          <w:iCs/>
        </w:rPr>
      </w:pPr>
      <w:r>
        <w:rPr>
          <w:i/>
          <w:iCs/>
        </w:rPr>
        <w:t>“</w:t>
      </w:r>
      <w:r w:rsidR="00D53864" w:rsidRPr="00D53864">
        <w:rPr>
          <w:i/>
          <w:iCs/>
        </w:rPr>
        <w:t>This procedure led to an average of three agro-dealers per catchment area, ranging from</w:t>
      </w:r>
      <w:r w:rsidR="00D53864">
        <w:rPr>
          <w:i/>
          <w:iCs/>
        </w:rPr>
        <w:t xml:space="preserve"> </w:t>
      </w:r>
      <w:r w:rsidR="00D53864" w:rsidRPr="00D53864">
        <w:rPr>
          <w:i/>
          <w:iCs/>
        </w:rPr>
        <w:t>a minimum of one to a maximum of 18.</w:t>
      </w:r>
      <w:r>
        <w:rPr>
          <w:i/>
          <w:iCs/>
        </w:rPr>
        <w:t>”</w:t>
      </w:r>
    </w:p>
    <w:p w14:paraId="0FFD0B66" w14:textId="15DE46B8" w:rsidR="00902F9D" w:rsidRDefault="00D53864">
      <w:pPr>
        <w:jc w:val="both"/>
        <w:rPr>
          <w:i/>
          <w:iCs/>
        </w:rPr>
      </w:pPr>
      <w:r w:rsidRPr="00D53864">
        <w:rPr>
          <w:i/>
          <w:iCs/>
        </w:rPr>
        <w:t xml:space="preserve">Farmers tend to be quite loyal to </w:t>
      </w:r>
      <w:r>
        <w:rPr>
          <w:i/>
          <w:iCs/>
        </w:rPr>
        <w:t>agro-dealers, we report that:</w:t>
      </w:r>
    </w:p>
    <w:p w14:paraId="79AB09B0" w14:textId="420A0D43" w:rsidR="00902F9D" w:rsidRDefault="00000000" w:rsidP="00D53864">
      <w:pPr>
        <w:ind w:left="709"/>
        <w:jc w:val="both"/>
        <w:rPr>
          <w:i/>
          <w:iCs/>
        </w:rPr>
      </w:pPr>
      <w:r>
        <w:rPr>
          <w:i/>
          <w:iCs/>
        </w:rPr>
        <w:t>“</w:t>
      </w:r>
      <w:r w:rsidR="00D53864" w:rsidRPr="00D53864">
        <w:rPr>
          <w:i/>
          <w:iCs/>
        </w:rPr>
        <w:t>Results in Table 14 indicate that only 17% of farmers reported</w:t>
      </w:r>
      <w:r w:rsidR="00D53864">
        <w:rPr>
          <w:i/>
          <w:iCs/>
        </w:rPr>
        <w:t xml:space="preserve"> </w:t>
      </w:r>
      <w:r w:rsidR="00D53864" w:rsidRPr="00D53864">
        <w:rPr>
          <w:i/>
          <w:iCs/>
        </w:rPr>
        <w:t>switching at baseline.</w:t>
      </w:r>
      <w:r>
        <w:rPr>
          <w:i/>
          <w:iCs/>
        </w:rPr>
        <w:t>”</w:t>
      </w:r>
    </w:p>
    <w:p w14:paraId="165E2C42" w14:textId="77777777" w:rsidR="00217189" w:rsidRDefault="00000000">
      <w:pPr>
        <w:jc w:val="both"/>
      </w:pPr>
      <w:r>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14:paraId="5401DC4C" w14:textId="77777777" w:rsidR="00217189" w:rsidRDefault="00000000">
      <w:pPr>
        <w:jc w:val="both"/>
      </w:pPr>
      <w:r>
        <w:rPr>
          <w:i/>
          <w:iCs/>
        </w:rPr>
        <w:t>We agree that seed quality is not the agro-dealer’s responsibility alone</w:t>
      </w:r>
      <w:r w:rsidR="00217189">
        <w:rPr>
          <w:i/>
          <w:iCs/>
        </w:rPr>
        <w:t xml:space="preserve">. </w:t>
      </w:r>
      <w:r>
        <w:rPr>
          <w:i/>
          <w:iCs/>
        </w:rPr>
        <w:t>If the manufacturer provides seed of low quality and the dealer sells it without being aware, our clearinghouse could solve another information asymmetry by informing the dealer about this surprisingly low quality.</w:t>
      </w:r>
    </w:p>
    <w:p w14:paraId="3304562A" w14:textId="530F0571" w:rsidR="00217189" w:rsidRDefault="00000000">
      <w:pPr>
        <w:jc w:val="both"/>
      </w:pPr>
      <w:r>
        <w:rPr>
          <w:i/>
          <w:iCs/>
        </w:rPr>
        <w:t>On the other hand</w:t>
      </w:r>
      <w:r w:rsidR="00217189">
        <w:rPr>
          <w:i/>
          <w:iCs/>
        </w:rPr>
        <w:t xml:space="preserve">, </w:t>
      </w:r>
      <w:r>
        <w:rPr>
          <w:i/>
          <w:iCs/>
        </w:rPr>
        <w:t xml:space="preserve">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w:t>
      </w:r>
      <w:r w:rsidR="00BF7016">
        <w:rPr>
          <w:i/>
          <w:iCs/>
        </w:rPr>
        <w:t xml:space="preserve">information </w:t>
      </w:r>
      <w:r>
        <w:rPr>
          <w:i/>
          <w:iCs/>
        </w:rPr>
        <w:t>clearinghouse would indeed be less useful.</w:t>
      </w:r>
    </w:p>
    <w:p w14:paraId="16ED7188" w14:textId="77777777" w:rsidR="00217189" w:rsidRDefault="00000000">
      <w:pPr>
        <w:jc w:val="both"/>
      </w:pPr>
      <w:r>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p>
    <w:p w14:paraId="45D51ED3" w14:textId="3CF1526E" w:rsidR="00902F9D" w:rsidRPr="00217189" w:rsidRDefault="00000000">
      <w:pPr>
        <w:jc w:val="both"/>
      </w:pPr>
      <w:r>
        <w:rPr>
          <w:i/>
          <w:iCs/>
        </w:rPr>
        <w:t>We find that farmers knew an agro-dealer in their proximity in 36% of the cases</w:t>
      </w:r>
      <w:r w:rsidR="00A1555B">
        <w:rPr>
          <w:i/>
          <w:iCs/>
        </w:rPr>
        <w:t xml:space="preserve">. </w:t>
      </w:r>
      <w:r w:rsidR="00217189" w:rsidRPr="00217189">
        <w:rPr>
          <w:i/>
          <w:iCs/>
        </w:rPr>
        <w:t>We intentionally designed the experiment to differentiate between</w:t>
      </w:r>
      <w:r>
        <w:rPr>
          <w:i/>
          <w:iCs/>
        </w:rPr>
        <w:t xml:space="preserve"> the effect of the ratings and an effect that arises from simply informing farmers about the existence of agro-dealers</w:t>
      </w:r>
      <w:r w:rsidR="00217189">
        <w:rPr>
          <w:i/>
          <w:iCs/>
        </w:rPr>
        <w:t xml:space="preserve">, as </w:t>
      </w:r>
      <w:r>
        <w:rPr>
          <w:i/>
          <w:iCs/>
        </w:rPr>
        <w:t>indicate</w:t>
      </w:r>
      <w:r w:rsidR="00217189">
        <w:rPr>
          <w:i/>
          <w:iCs/>
        </w:rPr>
        <w:t>d</w:t>
      </w:r>
      <w:r>
        <w:rPr>
          <w:i/>
          <w:iCs/>
        </w:rPr>
        <w:t xml:space="preserve"> in the manuscript:</w:t>
      </w:r>
    </w:p>
    <w:p w14:paraId="418B2BAD" w14:textId="77777777" w:rsidR="00A1555B" w:rsidRDefault="00000000" w:rsidP="00A1555B">
      <w:pPr>
        <w:ind w:left="709"/>
        <w:jc w:val="both"/>
        <w:rPr>
          <w:i/>
          <w:iCs/>
        </w:rPr>
      </w:pPr>
      <w:r>
        <w:rPr>
          <w:i/>
          <w:iCs/>
        </w:rPr>
        <w:lastRenderedPageBreak/>
        <w:t>“</w:t>
      </w:r>
      <w:r w:rsidR="00A1555B" w:rsidRPr="00A1555B">
        <w:rPr>
          <w:i/>
          <w:iCs/>
        </w:rPr>
        <w:t>A potential concern arises from asking treated farmers to rate agro-dealers because</w:t>
      </w:r>
      <w:r w:rsidR="00A1555B">
        <w:rPr>
          <w:i/>
          <w:iCs/>
        </w:rPr>
        <w:t xml:space="preserve"> </w:t>
      </w:r>
      <w:r w:rsidR="00A1555B" w:rsidRPr="00A1555B">
        <w:rPr>
          <w:i/>
          <w:iCs/>
        </w:rPr>
        <w:t>it may increase awareness among farmers of the existence of all agro-dealers in the area,</w:t>
      </w:r>
      <w:r w:rsidR="00A1555B">
        <w:rPr>
          <w:i/>
          <w:iCs/>
        </w:rPr>
        <w:t xml:space="preserve"> </w:t>
      </w:r>
      <w:r w:rsidR="00A1555B" w:rsidRPr="00A1555B">
        <w:rPr>
          <w:i/>
          <w:iCs/>
        </w:rPr>
        <w:t>such that this awareness effect could confound the information clearinghouse effect. To</w:t>
      </w:r>
      <w:r w:rsidR="00A1555B">
        <w:rPr>
          <w:i/>
          <w:iCs/>
        </w:rPr>
        <w:t xml:space="preserve"> </w:t>
      </w:r>
      <w:r w:rsidR="00A1555B" w:rsidRPr="00A1555B">
        <w:rPr>
          <w:i/>
          <w:iCs/>
        </w:rPr>
        <w:t>address this concern, we also iterated through the agro-dealers in the catchment areas</w:t>
      </w:r>
      <w:r w:rsidR="00A1555B">
        <w:rPr>
          <w:i/>
          <w:iCs/>
        </w:rPr>
        <w:t xml:space="preserve"> </w:t>
      </w:r>
      <w:r w:rsidR="00A1555B" w:rsidRPr="00A1555B">
        <w:rPr>
          <w:i/>
          <w:iCs/>
        </w:rPr>
        <w:t>with farmers in the control group to make them similarly aware of the existence of agro</w:t>
      </w:r>
      <w:r w:rsidR="00A1555B">
        <w:rPr>
          <w:i/>
          <w:iCs/>
        </w:rPr>
        <w:t>-</w:t>
      </w:r>
      <w:r w:rsidR="00A1555B" w:rsidRPr="00A1555B">
        <w:rPr>
          <w:i/>
          <w:iCs/>
        </w:rPr>
        <w:t>dealers</w:t>
      </w:r>
      <w:r w:rsidR="00A1555B">
        <w:rPr>
          <w:i/>
          <w:iCs/>
        </w:rPr>
        <w:t xml:space="preserve"> </w:t>
      </w:r>
      <w:r w:rsidR="00A1555B" w:rsidRPr="00A1555B">
        <w:rPr>
          <w:i/>
          <w:iCs/>
        </w:rPr>
        <w:t>in their vicinity.</w:t>
      </w:r>
      <w:r w:rsidR="00A1555B">
        <w:rPr>
          <w:i/>
          <w:iCs/>
        </w:rPr>
        <w:t>”</w:t>
      </w:r>
    </w:p>
    <w:p w14:paraId="23C54019" w14:textId="1AB082E1" w:rsidR="00902F9D" w:rsidRDefault="00A1555B" w:rsidP="00A1555B">
      <w:pPr>
        <w:ind w:left="709"/>
        <w:jc w:val="both"/>
        <w:rPr>
          <w:i/>
          <w:iCs/>
        </w:rPr>
      </w:pPr>
      <w:r>
        <w:rPr>
          <w:i/>
          <w:iCs/>
        </w:rPr>
        <w:t>“</w:t>
      </w:r>
      <w:r w:rsidRPr="00A1555B">
        <w:rPr>
          <w:i/>
          <w:iCs/>
        </w:rPr>
        <w:t>To isolate the effect of the ratings from more general effects that may arise from sending</w:t>
      </w:r>
      <w:r>
        <w:rPr>
          <w:i/>
          <w:iCs/>
        </w:rPr>
        <w:t xml:space="preserve"> </w:t>
      </w:r>
      <w:r w:rsidRPr="00A1555B">
        <w:rPr>
          <w:i/>
          <w:iCs/>
        </w:rPr>
        <w:t>text messages, we use a placebo for the control group that consists of an “empty” SMS</w:t>
      </w:r>
      <w:r>
        <w:rPr>
          <w:i/>
          <w:iCs/>
        </w:rPr>
        <w:t xml:space="preserve"> </w:t>
      </w:r>
      <w:r w:rsidRPr="00A1555B">
        <w:rPr>
          <w:i/>
          <w:iCs/>
        </w:rPr>
        <w:t>that only points out the existence of agro-dealers in the control farmer’s catchment</w:t>
      </w:r>
      <w:r>
        <w:rPr>
          <w:i/>
          <w:iCs/>
        </w:rPr>
        <w:t xml:space="preserve"> </w:t>
      </w:r>
      <w:r w:rsidRPr="00A1555B">
        <w:rPr>
          <w:i/>
          <w:iCs/>
        </w:rPr>
        <w:t>area. This also makes it more difficult for farmers to identify if they are being treated</w:t>
      </w:r>
      <w:r>
        <w:rPr>
          <w:i/>
          <w:iCs/>
        </w:rPr>
        <w:t xml:space="preserve"> </w:t>
      </w:r>
      <w:r w:rsidRPr="00A1555B">
        <w:rPr>
          <w:i/>
          <w:iCs/>
        </w:rPr>
        <w:t>or not, thus reducing the likelihood of reactivity effects and experimenter bias.</w:t>
      </w:r>
      <w:r>
        <w:rPr>
          <w:i/>
          <w:iCs/>
        </w:rPr>
        <w:t>”</w:t>
      </w:r>
    </w:p>
    <w:p w14:paraId="6138D65F" w14:textId="77777777" w:rsidR="00902F9D" w:rsidRDefault="00000000">
      <w:pPr>
        <w:jc w:val="both"/>
        <w:rPr>
          <w:i/>
          <w:iCs/>
        </w:rPr>
      </w:pPr>
      <w:r>
        <w:t>As an aside, I’d be curious to learn whether treated farmers were more accurate about the quality of agro-dealers over time and in general whether there was a lot of intra-market differences in quality.</w:t>
      </w:r>
    </w:p>
    <w:p w14:paraId="5C84EBCD" w14:textId="77777777" w:rsidR="00902F9D" w:rsidRDefault="00000000">
      <w:pPr>
        <w:rPr>
          <w:i/>
          <w:iCs/>
        </w:rPr>
      </w:pPr>
      <w:r>
        <w:rPr>
          <w:i/>
          <w:iCs/>
        </w:rPr>
        <w:t>Here some descriptive statistics regarding moisture (as our quality proxy) and quality perceptions:</w:t>
      </w:r>
    </w:p>
    <w:tbl>
      <w:tblPr>
        <w:tblStyle w:val="TableGrid"/>
        <w:tblW w:w="9360" w:type="dxa"/>
        <w:tblLayout w:type="fixed"/>
        <w:tblLook w:val="04A0" w:firstRow="1" w:lastRow="0" w:firstColumn="1" w:lastColumn="0" w:noHBand="0" w:noVBand="1"/>
      </w:tblPr>
      <w:tblGrid>
        <w:gridCol w:w="806"/>
        <w:gridCol w:w="993"/>
        <w:gridCol w:w="991"/>
        <w:gridCol w:w="763"/>
        <w:gridCol w:w="1038"/>
        <w:gridCol w:w="1014"/>
        <w:gridCol w:w="3755"/>
      </w:tblGrid>
      <w:tr w:rsidR="00902F9D" w:rsidRPr="00A1555B" w14:paraId="10233152" w14:textId="77777777">
        <w:tc>
          <w:tcPr>
            <w:tcW w:w="9359" w:type="dxa"/>
            <w:gridSpan w:val="7"/>
            <w:tcBorders>
              <w:top w:val="nil"/>
              <w:left w:val="nil"/>
              <w:right w:val="nil"/>
            </w:tcBorders>
          </w:tcPr>
          <w:p w14:paraId="725709E3" w14:textId="77777777" w:rsidR="00902F9D" w:rsidRPr="00A1555B" w:rsidRDefault="00000000">
            <w:pPr>
              <w:spacing w:before="0" w:after="0"/>
              <w:rPr>
                <w:b/>
                <w:bCs/>
                <w:i/>
                <w:iCs/>
                <w:sz w:val="20"/>
                <w:szCs w:val="20"/>
              </w:rPr>
            </w:pPr>
            <w:r w:rsidRPr="00A1555B">
              <w:rPr>
                <w:b/>
                <w:bCs/>
                <w:i/>
                <w:iCs/>
                <w:sz w:val="20"/>
                <w:szCs w:val="20"/>
              </w:rPr>
              <w:t>Moisture in bag of maize seed in %</w:t>
            </w:r>
          </w:p>
        </w:tc>
      </w:tr>
      <w:tr w:rsidR="00902F9D" w:rsidRPr="00A1555B" w14:paraId="3DE7A4AC" w14:textId="77777777">
        <w:tc>
          <w:tcPr>
            <w:tcW w:w="805" w:type="dxa"/>
            <w:tcBorders>
              <w:left w:val="nil"/>
              <w:right w:val="nil"/>
            </w:tcBorders>
          </w:tcPr>
          <w:p w14:paraId="3127C0D3" w14:textId="77777777" w:rsidR="00902F9D" w:rsidRPr="00A1555B" w:rsidRDefault="00000000">
            <w:pPr>
              <w:spacing w:before="0" w:after="0"/>
              <w:rPr>
                <w:i/>
                <w:iCs/>
                <w:sz w:val="20"/>
                <w:szCs w:val="20"/>
              </w:rPr>
            </w:pPr>
            <w:r w:rsidRPr="00A1555B">
              <w:rPr>
                <w:i/>
                <w:iCs/>
                <w:sz w:val="20"/>
                <w:szCs w:val="20"/>
              </w:rPr>
              <w:t>Min.</w:t>
            </w:r>
          </w:p>
        </w:tc>
        <w:tc>
          <w:tcPr>
            <w:tcW w:w="993" w:type="dxa"/>
            <w:tcBorders>
              <w:left w:val="nil"/>
              <w:right w:val="nil"/>
            </w:tcBorders>
          </w:tcPr>
          <w:p w14:paraId="5D1D34AB" w14:textId="77777777" w:rsidR="00902F9D" w:rsidRPr="00A1555B" w:rsidRDefault="00000000">
            <w:pPr>
              <w:spacing w:before="0" w:after="0"/>
              <w:rPr>
                <w:i/>
                <w:iCs/>
                <w:sz w:val="20"/>
                <w:szCs w:val="20"/>
              </w:rPr>
            </w:pPr>
            <w:r w:rsidRPr="00A1555B">
              <w:rPr>
                <w:i/>
                <w:iCs/>
                <w:sz w:val="20"/>
                <w:szCs w:val="20"/>
              </w:rPr>
              <w:t>1st Qu.</w:t>
            </w:r>
          </w:p>
        </w:tc>
        <w:tc>
          <w:tcPr>
            <w:tcW w:w="991" w:type="dxa"/>
            <w:tcBorders>
              <w:left w:val="nil"/>
              <w:right w:val="nil"/>
            </w:tcBorders>
          </w:tcPr>
          <w:p w14:paraId="447A720A" w14:textId="77777777" w:rsidR="00902F9D" w:rsidRPr="00A1555B" w:rsidRDefault="00000000">
            <w:pPr>
              <w:spacing w:before="0" w:after="0"/>
              <w:rPr>
                <w:i/>
                <w:iCs/>
                <w:sz w:val="20"/>
                <w:szCs w:val="20"/>
              </w:rPr>
            </w:pPr>
            <w:r w:rsidRPr="00A1555B">
              <w:rPr>
                <w:i/>
                <w:iCs/>
                <w:sz w:val="20"/>
                <w:szCs w:val="20"/>
              </w:rPr>
              <w:t>Median</w:t>
            </w:r>
          </w:p>
        </w:tc>
        <w:tc>
          <w:tcPr>
            <w:tcW w:w="763" w:type="dxa"/>
            <w:tcBorders>
              <w:left w:val="nil"/>
              <w:right w:val="nil"/>
            </w:tcBorders>
          </w:tcPr>
          <w:p w14:paraId="2875D562" w14:textId="77777777" w:rsidR="00902F9D" w:rsidRPr="00A1555B" w:rsidRDefault="00000000">
            <w:pPr>
              <w:spacing w:before="0" w:after="0"/>
              <w:rPr>
                <w:i/>
                <w:iCs/>
                <w:sz w:val="20"/>
                <w:szCs w:val="20"/>
              </w:rPr>
            </w:pPr>
            <w:r w:rsidRPr="00A1555B">
              <w:rPr>
                <w:i/>
                <w:iCs/>
                <w:sz w:val="20"/>
                <w:szCs w:val="20"/>
              </w:rPr>
              <w:t>Mean</w:t>
            </w:r>
          </w:p>
        </w:tc>
        <w:tc>
          <w:tcPr>
            <w:tcW w:w="1038" w:type="dxa"/>
            <w:tcBorders>
              <w:left w:val="nil"/>
              <w:right w:val="nil"/>
            </w:tcBorders>
          </w:tcPr>
          <w:p w14:paraId="4B87CBB8" w14:textId="77777777" w:rsidR="00902F9D" w:rsidRPr="00A1555B" w:rsidRDefault="00000000">
            <w:pPr>
              <w:spacing w:before="0" w:after="0"/>
              <w:rPr>
                <w:i/>
                <w:iCs/>
                <w:sz w:val="20"/>
                <w:szCs w:val="20"/>
              </w:rPr>
            </w:pPr>
            <w:r w:rsidRPr="00A1555B">
              <w:rPr>
                <w:i/>
                <w:iCs/>
                <w:sz w:val="20"/>
                <w:szCs w:val="20"/>
              </w:rPr>
              <w:t>3rd Qu.</w:t>
            </w:r>
          </w:p>
        </w:tc>
        <w:tc>
          <w:tcPr>
            <w:tcW w:w="1014" w:type="dxa"/>
            <w:tcBorders>
              <w:left w:val="nil"/>
              <w:right w:val="nil"/>
            </w:tcBorders>
          </w:tcPr>
          <w:p w14:paraId="339F37BF" w14:textId="77777777" w:rsidR="00902F9D" w:rsidRPr="00A1555B" w:rsidRDefault="00000000">
            <w:pPr>
              <w:spacing w:before="0" w:after="0"/>
              <w:rPr>
                <w:i/>
                <w:iCs/>
                <w:sz w:val="20"/>
                <w:szCs w:val="20"/>
              </w:rPr>
            </w:pPr>
            <w:r w:rsidRPr="00A1555B">
              <w:rPr>
                <w:i/>
                <w:iCs/>
                <w:sz w:val="20"/>
                <w:szCs w:val="20"/>
              </w:rPr>
              <w:t>Max.</w:t>
            </w:r>
          </w:p>
        </w:tc>
        <w:tc>
          <w:tcPr>
            <w:tcW w:w="3755" w:type="dxa"/>
            <w:tcBorders>
              <w:left w:val="nil"/>
              <w:right w:val="nil"/>
            </w:tcBorders>
          </w:tcPr>
          <w:p w14:paraId="7E2A756C" w14:textId="77777777" w:rsidR="00902F9D" w:rsidRPr="00A1555B" w:rsidRDefault="00902F9D">
            <w:pPr>
              <w:spacing w:before="0" w:after="0"/>
              <w:rPr>
                <w:i/>
                <w:iCs/>
                <w:sz w:val="20"/>
                <w:szCs w:val="20"/>
              </w:rPr>
            </w:pPr>
          </w:p>
        </w:tc>
      </w:tr>
      <w:tr w:rsidR="00902F9D" w:rsidRPr="00A1555B" w14:paraId="340DFDF4" w14:textId="77777777">
        <w:tc>
          <w:tcPr>
            <w:tcW w:w="5604" w:type="dxa"/>
            <w:gridSpan w:val="6"/>
            <w:tcBorders>
              <w:left w:val="nil"/>
              <w:right w:val="nil"/>
            </w:tcBorders>
          </w:tcPr>
          <w:p w14:paraId="7AA53EA9" w14:textId="77777777" w:rsidR="00902F9D" w:rsidRPr="00A1555B" w:rsidRDefault="00000000">
            <w:pPr>
              <w:spacing w:before="0" w:after="0"/>
              <w:rPr>
                <w:i/>
                <w:iCs/>
                <w:sz w:val="20"/>
                <w:szCs w:val="20"/>
              </w:rPr>
            </w:pPr>
            <w:r w:rsidRPr="00A1555B">
              <w:rPr>
                <w:i/>
                <w:iCs/>
                <w:sz w:val="20"/>
                <w:szCs w:val="20"/>
              </w:rPr>
              <w:t>Baseline:</w:t>
            </w:r>
          </w:p>
        </w:tc>
        <w:tc>
          <w:tcPr>
            <w:tcW w:w="3755" w:type="dxa"/>
            <w:vMerge w:val="restart"/>
            <w:tcBorders>
              <w:left w:val="nil"/>
              <w:right w:val="nil"/>
            </w:tcBorders>
          </w:tcPr>
          <w:p w14:paraId="3061D3FA"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53DFCC65" wp14:editId="147C906E">
                  <wp:extent cx="996991" cy="949142"/>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11"/>
                          <a:srcRect t="15013" r="6853" b="11891"/>
                          <a:stretch>
                            <a:fillRect/>
                          </a:stretch>
                        </pic:blipFill>
                        <pic:spPr bwMode="auto">
                          <a:xfrm>
                            <a:off x="0" y="0"/>
                            <a:ext cx="1033622" cy="984015"/>
                          </a:xfrm>
                          <a:prstGeom prst="rect">
                            <a:avLst/>
                          </a:prstGeom>
                        </pic:spPr>
                      </pic:pic>
                    </a:graphicData>
                  </a:graphic>
                </wp:inline>
              </w:drawing>
            </w:r>
          </w:p>
        </w:tc>
      </w:tr>
      <w:tr w:rsidR="00902F9D" w:rsidRPr="00A1555B" w14:paraId="030684BB" w14:textId="77777777">
        <w:tc>
          <w:tcPr>
            <w:tcW w:w="805" w:type="dxa"/>
            <w:tcBorders>
              <w:left w:val="nil"/>
              <w:right w:val="nil"/>
            </w:tcBorders>
          </w:tcPr>
          <w:p w14:paraId="17D45535" w14:textId="77777777" w:rsidR="00902F9D" w:rsidRPr="00A1555B" w:rsidRDefault="00000000">
            <w:pPr>
              <w:spacing w:before="0" w:after="0"/>
              <w:rPr>
                <w:i/>
                <w:iCs/>
                <w:sz w:val="20"/>
                <w:szCs w:val="20"/>
              </w:rPr>
            </w:pPr>
            <w:r w:rsidRPr="00A1555B">
              <w:rPr>
                <w:i/>
                <w:iCs/>
                <w:sz w:val="20"/>
                <w:szCs w:val="20"/>
              </w:rPr>
              <w:t>10.30</w:t>
            </w:r>
          </w:p>
        </w:tc>
        <w:tc>
          <w:tcPr>
            <w:tcW w:w="993" w:type="dxa"/>
            <w:tcBorders>
              <w:left w:val="nil"/>
              <w:right w:val="nil"/>
            </w:tcBorders>
          </w:tcPr>
          <w:p w14:paraId="47D58461" w14:textId="77777777" w:rsidR="00902F9D" w:rsidRPr="00A1555B" w:rsidRDefault="00000000">
            <w:pPr>
              <w:spacing w:before="0" w:after="0"/>
              <w:rPr>
                <w:i/>
                <w:iCs/>
                <w:sz w:val="20"/>
                <w:szCs w:val="20"/>
              </w:rPr>
            </w:pPr>
            <w:r w:rsidRPr="00A1555B">
              <w:rPr>
                <w:i/>
                <w:iCs/>
                <w:sz w:val="20"/>
                <w:szCs w:val="20"/>
              </w:rPr>
              <w:t>12.50</w:t>
            </w:r>
          </w:p>
        </w:tc>
        <w:tc>
          <w:tcPr>
            <w:tcW w:w="991" w:type="dxa"/>
            <w:tcBorders>
              <w:left w:val="nil"/>
              <w:right w:val="nil"/>
            </w:tcBorders>
          </w:tcPr>
          <w:p w14:paraId="65446AEE" w14:textId="77777777" w:rsidR="00902F9D" w:rsidRPr="00A1555B" w:rsidRDefault="00000000">
            <w:pPr>
              <w:spacing w:before="0" w:after="0"/>
              <w:rPr>
                <w:i/>
                <w:iCs/>
                <w:sz w:val="20"/>
                <w:szCs w:val="20"/>
              </w:rPr>
            </w:pPr>
            <w:r w:rsidRPr="00A1555B">
              <w:rPr>
                <w:i/>
                <w:iCs/>
                <w:sz w:val="20"/>
                <w:szCs w:val="20"/>
              </w:rPr>
              <w:t>13.10</w:t>
            </w:r>
          </w:p>
        </w:tc>
        <w:tc>
          <w:tcPr>
            <w:tcW w:w="763" w:type="dxa"/>
            <w:tcBorders>
              <w:left w:val="nil"/>
              <w:right w:val="nil"/>
            </w:tcBorders>
          </w:tcPr>
          <w:p w14:paraId="0CC729AB" w14:textId="77777777" w:rsidR="00902F9D" w:rsidRPr="00A1555B" w:rsidRDefault="00000000">
            <w:pPr>
              <w:spacing w:before="0" w:after="0"/>
              <w:rPr>
                <w:i/>
                <w:iCs/>
                <w:sz w:val="20"/>
                <w:szCs w:val="20"/>
              </w:rPr>
            </w:pPr>
            <w:r w:rsidRPr="00A1555B">
              <w:rPr>
                <w:i/>
                <w:iCs/>
                <w:sz w:val="20"/>
                <w:szCs w:val="20"/>
              </w:rPr>
              <w:t>13.58</w:t>
            </w:r>
          </w:p>
        </w:tc>
        <w:tc>
          <w:tcPr>
            <w:tcW w:w="1038" w:type="dxa"/>
            <w:tcBorders>
              <w:left w:val="nil"/>
              <w:right w:val="nil"/>
            </w:tcBorders>
          </w:tcPr>
          <w:p w14:paraId="4F964C9A" w14:textId="77777777" w:rsidR="00902F9D" w:rsidRPr="00A1555B" w:rsidRDefault="00000000">
            <w:pPr>
              <w:spacing w:before="0" w:after="0"/>
              <w:rPr>
                <w:i/>
                <w:iCs/>
                <w:sz w:val="20"/>
                <w:szCs w:val="20"/>
              </w:rPr>
            </w:pPr>
            <w:r w:rsidRPr="00A1555B">
              <w:rPr>
                <w:i/>
                <w:iCs/>
                <w:sz w:val="20"/>
                <w:szCs w:val="20"/>
              </w:rPr>
              <w:t>14.50</w:t>
            </w:r>
          </w:p>
        </w:tc>
        <w:tc>
          <w:tcPr>
            <w:tcW w:w="1014" w:type="dxa"/>
            <w:tcBorders>
              <w:left w:val="nil"/>
              <w:right w:val="nil"/>
            </w:tcBorders>
          </w:tcPr>
          <w:p w14:paraId="540594B9" w14:textId="77777777" w:rsidR="00902F9D" w:rsidRPr="00A1555B" w:rsidRDefault="00000000">
            <w:pPr>
              <w:spacing w:before="0" w:after="0"/>
              <w:rPr>
                <w:i/>
                <w:iCs/>
                <w:sz w:val="20"/>
                <w:szCs w:val="20"/>
              </w:rPr>
            </w:pPr>
            <w:r w:rsidRPr="00A1555B">
              <w:rPr>
                <w:i/>
                <w:iCs/>
                <w:sz w:val="20"/>
                <w:szCs w:val="20"/>
              </w:rPr>
              <w:t>17.40</w:t>
            </w:r>
          </w:p>
        </w:tc>
        <w:tc>
          <w:tcPr>
            <w:tcW w:w="3755" w:type="dxa"/>
            <w:vMerge/>
            <w:tcBorders>
              <w:left w:val="nil"/>
              <w:right w:val="nil"/>
            </w:tcBorders>
          </w:tcPr>
          <w:p w14:paraId="752762CF" w14:textId="77777777" w:rsidR="00902F9D" w:rsidRPr="00A1555B" w:rsidRDefault="00902F9D">
            <w:pPr>
              <w:spacing w:before="0" w:after="0"/>
              <w:jc w:val="center"/>
              <w:rPr>
                <w:i/>
                <w:iCs/>
                <w:sz w:val="20"/>
                <w:szCs w:val="20"/>
              </w:rPr>
            </w:pPr>
          </w:p>
        </w:tc>
      </w:tr>
      <w:tr w:rsidR="00902F9D" w:rsidRPr="00A1555B" w14:paraId="1FE2C953" w14:textId="77777777">
        <w:tc>
          <w:tcPr>
            <w:tcW w:w="5604" w:type="dxa"/>
            <w:gridSpan w:val="6"/>
            <w:tcBorders>
              <w:left w:val="nil"/>
              <w:right w:val="nil"/>
            </w:tcBorders>
          </w:tcPr>
          <w:p w14:paraId="2C1EB235" w14:textId="77777777" w:rsidR="00902F9D" w:rsidRPr="00A1555B" w:rsidRDefault="00000000">
            <w:pPr>
              <w:spacing w:before="0" w:after="0"/>
              <w:rPr>
                <w:i/>
                <w:iCs/>
                <w:sz w:val="20"/>
                <w:szCs w:val="20"/>
              </w:rPr>
            </w:pPr>
            <w:r w:rsidRPr="00A1555B">
              <w:rPr>
                <w:i/>
                <w:iCs/>
                <w:sz w:val="20"/>
                <w:szCs w:val="20"/>
              </w:rPr>
              <w:t>Midline:</w:t>
            </w:r>
          </w:p>
        </w:tc>
        <w:tc>
          <w:tcPr>
            <w:tcW w:w="3755" w:type="dxa"/>
            <w:vMerge w:val="restart"/>
            <w:tcBorders>
              <w:left w:val="nil"/>
              <w:right w:val="nil"/>
            </w:tcBorders>
          </w:tcPr>
          <w:p w14:paraId="30A75E8B"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65F274F6" wp14:editId="045A2C83">
                  <wp:extent cx="1002583" cy="968217"/>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12"/>
                          <a:srcRect t="14168" r="6398" b="11360"/>
                          <a:stretch>
                            <a:fillRect/>
                          </a:stretch>
                        </pic:blipFill>
                        <pic:spPr bwMode="auto">
                          <a:xfrm>
                            <a:off x="0" y="0"/>
                            <a:ext cx="1034746" cy="999277"/>
                          </a:xfrm>
                          <a:prstGeom prst="rect">
                            <a:avLst/>
                          </a:prstGeom>
                        </pic:spPr>
                      </pic:pic>
                    </a:graphicData>
                  </a:graphic>
                </wp:inline>
              </w:drawing>
            </w:r>
          </w:p>
        </w:tc>
      </w:tr>
      <w:tr w:rsidR="00902F9D" w:rsidRPr="00A1555B" w14:paraId="1D68EA3B" w14:textId="77777777">
        <w:tc>
          <w:tcPr>
            <w:tcW w:w="805" w:type="dxa"/>
            <w:tcBorders>
              <w:left w:val="nil"/>
              <w:right w:val="nil"/>
            </w:tcBorders>
          </w:tcPr>
          <w:p w14:paraId="5A522BEC" w14:textId="77777777" w:rsidR="00902F9D" w:rsidRPr="00A1555B" w:rsidRDefault="00000000">
            <w:pPr>
              <w:spacing w:before="0" w:after="0"/>
              <w:rPr>
                <w:i/>
                <w:iCs/>
                <w:sz w:val="20"/>
                <w:szCs w:val="20"/>
              </w:rPr>
            </w:pPr>
            <w:r w:rsidRPr="00A1555B">
              <w:rPr>
                <w:i/>
                <w:iCs/>
                <w:sz w:val="20"/>
                <w:szCs w:val="20"/>
              </w:rPr>
              <w:t>10.80</w:t>
            </w:r>
          </w:p>
        </w:tc>
        <w:tc>
          <w:tcPr>
            <w:tcW w:w="993" w:type="dxa"/>
            <w:tcBorders>
              <w:left w:val="nil"/>
              <w:right w:val="nil"/>
            </w:tcBorders>
          </w:tcPr>
          <w:p w14:paraId="1D6BF479" w14:textId="77777777" w:rsidR="00902F9D" w:rsidRPr="00A1555B" w:rsidRDefault="00000000">
            <w:pPr>
              <w:spacing w:before="0" w:after="0"/>
              <w:rPr>
                <w:i/>
                <w:iCs/>
                <w:sz w:val="20"/>
                <w:szCs w:val="20"/>
              </w:rPr>
            </w:pPr>
            <w:r w:rsidRPr="00A1555B">
              <w:rPr>
                <w:i/>
                <w:iCs/>
                <w:sz w:val="20"/>
                <w:szCs w:val="20"/>
              </w:rPr>
              <w:t>12.40</w:t>
            </w:r>
          </w:p>
        </w:tc>
        <w:tc>
          <w:tcPr>
            <w:tcW w:w="991" w:type="dxa"/>
            <w:tcBorders>
              <w:left w:val="nil"/>
              <w:right w:val="nil"/>
            </w:tcBorders>
          </w:tcPr>
          <w:p w14:paraId="518E8379" w14:textId="77777777" w:rsidR="00902F9D" w:rsidRPr="00A1555B" w:rsidRDefault="00000000">
            <w:pPr>
              <w:spacing w:before="0" w:after="0"/>
              <w:rPr>
                <w:i/>
                <w:iCs/>
                <w:sz w:val="20"/>
                <w:szCs w:val="20"/>
              </w:rPr>
            </w:pPr>
            <w:r w:rsidRPr="00A1555B">
              <w:rPr>
                <w:i/>
                <w:iCs/>
                <w:sz w:val="20"/>
                <w:szCs w:val="20"/>
              </w:rPr>
              <w:t>12.80</w:t>
            </w:r>
          </w:p>
        </w:tc>
        <w:tc>
          <w:tcPr>
            <w:tcW w:w="763" w:type="dxa"/>
            <w:tcBorders>
              <w:left w:val="nil"/>
              <w:right w:val="nil"/>
            </w:tcBorders>
          </w:tcPr>
          <w:p w14:paraId="635697AA" w14:textId="77777777" w:rsidR="00902F9D" w:rsidRPr="00A1555B" w:rsidRDefault="00000000">
            <w:pPr>
              <w:spacing w:before="0" w:after="0"/>
              <w:rPr>
                <w:i/>
                <w:iCs/>
                <w:sz w:val="20"/>
                <w:szCs w:val="20"/>
              </w:rPr>
            </w:pPr>
            <w:r w:rsidRPr="00A1555B">
              <w:rPr>
                <w:i/>
                <w:iCs/>
                <w:sz w:val="20"/>
                <w:szCs w:val="20"/>
              </w:rPr>
              <w:t>12.97</w:t>
            </w:r>
          </w:p>
        </w:tc>
        <w:tc>
          <w:tcPr>
            <w:tcW w:w="1038" w:type="dxa"/>
            <w:tcBorders>
              <w:left w:val="nil"/>
              <w:right w:val="nil"/>
            </w:tcBorders>
          </w:tcPr>
          <w:p w14:paraId="0C054561" w14:textId="77777777" w:rsidR="00902F9D" w:rsidRPr="00A1555B" w:rsidRDefault="00000000">
            <w:pPr>
              <w:spacing w:before="0" w:after="0"/>
              <w:rPr>
                <w:i/>
                <w:iCs/>
                <w:sz w:val="20"/>
                <w:szCs w:val="20"/>
              </w:rPr>
            </w:pPr>
            <w:r w:rsidRPr="00A1555B">
              <w:rPr>
                <w:i/>
                <w:iCs/>
                <w:sz w:val="20"/>
                <w:szCs w:val="20"/>
              </w:rPr>
              <w:t>13.30</w:t>
            </w:r>
          </w:p>
        </w:tc>
        <w:tc>
          <w:tcPr>
            <w:tcW w:w="1014" w:type="dxa"/>
            <w:tcBorders>
              <w:left w:val="nil"/>
              <w:right w:val="nil"/>
            </w:tcBorders>
          </w:tcPr>
          <w:p w14:paraId="41434DF0" w14:textId="77777777" w:rsidR="00902F9D" w:rsidRPr="00A1555B" w:rsidRDefault="00000000">
            <w:pPr>
              <w:spacing w:before="0" w:after="0"/>
              <w:rPr>
                <w:i/>
                <w:iCs/>
                <w:sz w:val="20"/>
                <w:szCs w:val="20"/>
              </w:rPr>
            </w:pPr>
            <w:r w:rsidRPr="00A1555B">
              <w:rPr>
                <w:i/>
                <w:iCs/>
                <w:sz w:val="20"/>
                <w:szCs w:val="20"/>
              </w:rPr>
              <w:t>17.20</w:t>
            </w:r>
          </w:p>
        </w:tc>
        <w:tc>
          <w:tcPr>
            <w:tcW w:w="3755" w:type="dxa"/>
            <w:vMerge/>
            <w:tcBorders>
              <w:left w:val="nil"/>
              <w:right w:val="nil"/>
            </w:tcBorders>
          </w:tcPr>
          <w:p w14:paraId="4E11D6C4" w14:textId="77777777" w:rsidR="00902F9D" w:rsidRPr="00A1555B" w:rsidRDefault="00902F9D">
            <w:pPr>
              <w:spacing w:before="0" w:after="0"/>
              <w:jc w:val="center"/>
              <w:rPr>
                <w:i/>
                <w:iCs/>
                <w:sz w:val="20"/>
                <w:szCs w:val="20"/>
              </w:rPr>
            </w:pPr>
          </w:p>
        </w:tc>
      </w:tr>
      <w:tr w:rsidR="00902F9D" w:rsidRPr="00A1555B" w14:paraId="58521424" w14:textId="77777777">
        <w:tc>
          <w:tcPr>
            <w:tcW w:w="5604" w:type="dxa"/>
            <w:gridSpan w:val="6"/>
            <w:tcBorders>
              <w:left w:val="nil"/>
              <w:right w:val="nil"/>
            </w:tcBorders>
          </w:tcPr>
          <w:p w14:paraId="5CEEA8C8" w14:textId="77777777" w:rsidR="00902F9D" w:rsidRPr="00A1555B" w:rsidRDefault="00000000">
            <w:pPr>
              <w:spacing w:before="0" w:after="0"/>
              <w:rPr>
                <w:i/>
                <w:iCs/>
                <w:sz w:val="20"/>
                <w:szCs w:val="20"/>
              </w:rPr>
            </w:pPr>
            <w:r w:rsidRPr="00A1555B">
              <w:rPr>
                <w:i/>
                <w:iCs/>
                <w:sz w:val="20"/>
                <w:szCs w:val="20"/>
              </w:rPr>
              <w:t>Endline:</w:t>
            </w:r>
          </w:p>
        </w:tc>
        <w:tc>
          <w:tcPr>
            <w:tcW w:w="3755" w:type="dxa"/>
            <w:vMerge w:val="restart"/>
            <w:tcBorders>
              <w:left w:val="nil"/>
              <w:bottom w:val="nil"/>
              <w:right w:val="nil"/>
            </w:tcBorders>
          </w:tcPr>
          <w:p w14:paraId="4ACDE835"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77DE88ED" wp14:editId="51C1F50F">
                  <wp:extent cx="985192" cy="949065"/>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13"/>
                          <a:srcRect t="14221" r="6883" b="11851"/>
                          <a:stretch>
                            <a:fillRect/>
                          </a:stretch>
                        </pic:blipFill>
                        <pic:spPr bwMode="auto">
                          <a:xfrm>
                            <a:off x="0" y="0"/>
                            <a:ext cx="1005109" cy="968252"/>
                          </a:xfrm>
                          <a:prstGeom prst="rect">
                            <a:avLst/>
                          </a:prstGeom>
                        </pic:spPr>
                      </pic:pic>
                    </a:graphicData>
                  </a:graphic>
                </wp:inline>
              </w:drawing>
            </w:r>
          </w:p>
        </w:tc>
      </w:tr>
      <w:tr w:rsidR="00902F9D" w:rsidRPr="00A1555B" w14:paraId="1A347790" w14:textId="77777777">
        <w:tc>
          <w:tcPr>
            <w:tcW w:w="805" w:type="dxa"/>
            <w:tcBorders>
              <w:left w:val="nil"/>
              <w:bottom w:val="nil"/>
              <w:right w:val="nil"/>
            </w:tcBorders>
          </w:tcPr>
          <w:p w14:paraId="5FDB8F94" w14:textId="77777777" w:rsidR="00902F9D" w:rsidRPr="00A1555B" w:rsidRDefault="00000000">
            <w:pPr>
              <w:spacing w:before="0" w:after="0"/>
              <w:rPr>
                <w:i/>
                <w:iCs/>
                <w:sz w:val="20"/>
                <w:szCs w:val="20"/>
              </w:rPr>
            </w:pPr>
            <w:r w:rsidRPr="00A1555B">
              <w:rPr>
                <w:i/>
                <w:iCs/>
                <w:sz w:val="20"/>
                <w:szCs w:val="20"/>
              </w:rPr>
              <w:t>11.00</w:t>
            </w:r>
          </w:p>
        </w:tc>
        <w:tc>
          <w:tcPr>
            <w:tcW w:w="993" w:type="dxa"/>
            <w:tcBorders>
              <w:left w:val="nil"/>
              <w:bottom w:val="nil"/>
              <w:right w:val="nil"/>
            </w:tcBorders>
          </w:tcPr>
          <w:p w14:paraId="05200D31" w14:textId="77777777" w:rsidR="00902F9D" w:rsidRPr="00A1555B" w:rsidRDefault="00000000">
            <w:pPr>
              <w:spacing w:before="0" w:after="0"/>
              <w:rPr>
                <w:i/>
                <w:iCs/>
                <w:sz w:val="20"/>
                <w:szCs w:val="20"/>
              </w:rPr>
            </w:pPr>
            <w:r w:rsidRPr="00A1555B">
              <w:rPr>
                <w:i/>
                <w:iCs/>
                <w:sz w:val="20"/>
                <w:szCs w:val="20"/>
              </w:rPr>
              <w:t>12.40</w:t>
            </w:r>
          </w:p>
        </w:tc>
        <w:tc>
          <w:tcPr>
            <w:tcW w:w="991" w:type="dxa"/>
            <w:tcBorders>
              <w:left w:val="nil"/>
              <w:bottom w:val="nil"/>
              <w:right w:val="nil"/>
            </w:tcBorders>
          </w:tcPr>
          <w:p w14:paraId="39A6BDE9" w14:textId="77777777" w:rsidR="00902F9D" w:rsidRPr="00A1555B" w:rsidRDefault="00000000">
            <w:pPr>
              <w:spacing w:before="0" w:after="0"/>
              <w:rPr>
                <w:i/>
                <w:iCs/>
                <w:sz w:val="20"/>
                <w:szCs w:val="20"/>
              </w:rPr>
            </w:pPr>
            <w:r w:rsidRPr="00A1555B">
              <w:rPr>
                <w:i/>
                <w:iCs/>
                <w:sz w:val="20"/>
                <w:szCs w:val="20"/>
              </w:rPr>
              <w:t>12.80</w:t>
            </w:r>
          </w:p>
        </w:tc>
        <w:tc>
          <w:tcPr>
            <w:tcW w:w="763" w:type="dxa"/>
            <w:tcBorders>
              <w:left w:val="nil"/>
              <w:bottom w:val="nil"/>
              <w:right w:val="nil"/>
            </w:tcBorders>
          </w:tcPr>
          <w:p w14:paraId="4CD05475" w14:textId="77777777" w:rsidR="00902F9D" w:rsidRPr="00A1555B" w:rsidRDefault="00000000">
            <w:pPr>
              <w:spacing w:before="0" w:after="0"/>
              <w:rPr>
                <w:i/>
                <w:iCs/>
                <w:sz w:val="20"/>
                <w:szCs w:val="20"/>
              </w:rPr>
            </w:pPr>
            <w:r w:rsidRPr="00A1555B">
              <w:rPr>
                <w:i/>
                <w:iCs/>
                <w:sz w:val="20"/>
                <w:szCs w:val="20"/>
              </w:rPr>
              <w:t>13.26</w:t>
            </w:r>
          </w:p>
        </w:tc>
        <w:tc>
          <w:tcPr>
            <w:tcW w:w="1038" w:type="dxa"/>
            <w:tcBorders>
              <w:left w:val="nil"/>
              <w:bottom w:val="nil"/>
              <w:right w:val="nil"/>
            </w:tcBorders>
          </w:tcPr>
          <w:p w14:paraId="6F44EAE9" w14:textId="77777777" w:rsidR="00902F9D" w:rsidRPr="00A1555B" w:rsidRDefault="00000000">
            <w:pPr>
              <w:spacing w:before="0" w:after="0"/>
              <w:rPr>
                <w:i/>
                <w:iCs/>
                <w:sz w:val="20"/>
                <w:szCs w:val="20"/>
              </w:rPr>
            </w:pPr>
            <w:r w:rsidRPr="00A1555B">
              <w:rPr>
                <w:i/>
                <w:iCs/>
                <w:sz w:val="20"/>
                <w:szCs w:val="20"/>
              </w:rPr>
              <w:t>13.70</w:t>
            </w:r>
          </w:p>
        </w:tc>
        <w:tc>
          <w:tcPr>
            <w:tcW w:w="1014" w:type="dxa"/>
            <w:tcBorders>
              <w:left w:val="nil"/>
              <w:bottom w:val="nil"/>
              <w:right w:val="nil"/>
            </w:tcBorders>
          </w:tcPr>
          <w:p w14:paraId="41F4E7C0" w14:textId="77777777" w:rsidR="00902F9D" w:rsidRPr="00A1555B" w:rsidRDefault="00000000">
            <w:pPr>
              <w:spacing w:before="0" w:after="0"/>
              <w:rPr>
                <w:i/>
                <w:iCs/>
                <w:sz w:val="20"/>
                <w:szCs w:val="20"/>
              </w:rPr>
            </w:pPr>
            <w:r w:rsidRPr="00A1555B">
              <w:rPr>
                <w:i/>
                <w:iCs/>
                <w:sz w:val="20"/>
                <w:szCs w:val="20"/>
              </w:rPr>
              <w:t>18.20</w:t>
            </w:r>
          </w:p>
        </w:tc>
        <w:tc>
          <w:tcPr>
            <w:tcW w:w="3755" w:type="dxa"/>
            <w:vMerge/>
            <w:tcBorders>
              <w:left w:val="nil"/>
              <w:bottom w:val="nil"/>
              <w:right w:val="nil"/>
            </w:tcBorders>
          </w:tcPr>
          <w:p w14:paraId="6B6B9B5F" w14:textId="77777777" w:rsidR="00902F9D" w:rsidRPr="00A1555B" w:rsidRDefault="00902F9D">
            <w:pPr>
              <w:spacing w:before="0" w:after="0"/>
              <w:jc w:val="center"/>
              <w:rPr>
                <w:i/>
                <w:iCs/>
                <w:sz w:val="20"/>
                <w:szCs w:val="20"/>
              </w:rPr>
            </w:pPr>
          </w:p>
        </w:tc>
      </w:tr>
    </w:tbl>
    <w:p w14:paraId="69DB7FF0" w14:textId="77777777" w:rsidR="00902F9D" w:rsidRDefault="00902F9D">
      <w:pPr>
        <w:rPr>
          <w:sz w:val="2"/>
          <w:szCs w:val="2"/>
        </w:rPr>
      </w:pPr>
    </w:p>
    <w:tbl>
      <w:tblPr>
        <w:tblStyle w:val="TableGrid"/>
        <w:tblW w:w="9593" w:type="dxa"/>
        <w:tblLayout w:type="fixed"/>
        <w:tblLook w:val="04A0" w:firstRow="1" w:lastRow="0" w:firstColumn="1" w:lastColumn="0" w:noHBand="0" w:noVBand="1"/>
      </w:tblPr>
      <w:tblGrid>
        <w:gridCol w:w="755"/>
        <w:gridCol w:w="1037"/>
        <w:gridCol w:w="990"/>
        <w:gridCol w:w="814"/>
        <w:gridCol w:w="990"/>
        <w:gridCol w:w="990"/>
        <w:gridCol w:w="4017"/>
      </w:tblGrid>
      <w:tr w:rsidR="00902F9D" w:rsidRPr="00A1555B" w14:paraId="2AFFA7A2" w14:textId="77777777">
        <w:tc>
          <w:tcPr>
            <w:tcW w:w="9592" w:type="dxa"/>
            <w:gridSpan w:val="7"/>
            <w:tcBorders>
              <w:top w:val="nil"/>
              <w:left w:val="nil"/>
              <w:right w:val="nil"/>
            </w:tcBorders>
          </w:tcPr>
          <w:p w14:paraId="24C815F9" w14:textId="77777777" w:rsidR="00902F9D" w:rsidRPr="00A1555B" w:rsidRDefault="00000000">
            <w:pPr>
              <w:spacing w:before="0" w:after="0"/>
              <w:rPr>
                <w:b/>
                <w:bCs/>
                <w:i/>
                <w:iCs/>
                <w:sz w:val="20"/>
                <w:szCs w:val="20"/>
              </w:rPr>
            </w:pPr>
            <w:r w:rsidRPr="00A1555B">
              <w:rPr>
                <w:b/>
                <w:bCs/>
                <w:i/>
                <w:iCs/>
                <w:sz w:val="20"/>
                <w:szCs w:val="20"/>
              </w:rPr>
              <w:t>Agro-dealer ratings</w:t>
            </w:r>
          </w:p>
        </w:tc>
      </w:tr>
      <w:tr w:rsidR="00902F9D" w:rsidRPr="00A1555B" w14:paraId="18AE834C" w14:textId="77777777">
        <w:tc>
          <w:tcPr>
            <w:tcW w:w="754" w:type="dxa"/>
            <w:tcBorders>
              <w:left w:val="nil"/>
              <w:right w:val="nil"/>
            </w:tcBorders>
          </w:tcPr>
          <w:p w14:paraId="2CCEB1D8" w14:textId="77777777" w:rsidR="00902F9D" w:rsidRPr="00A1555B" w:rsidRDefault="00000000">
            <w:pPr>
              <w:spacing w:before="0" w:after="0"/>
              <w:rPr>
                <w:i/>
                <w:iCs/>
                <w:sz w:val="20"/>
                <w:szCs w:val="20"/>
              </w:rPr>
            </w:pPr>
            <w:r w:rsidRPr="00A1555B">
              <w:rPr>
                <w:i/>
                <w:iCs/>
                <w:sz w:val="20"/>
                <w:szCs w:val="20"/>
              </w:rPr>
              <w:t>Min.</w:t>
            </w:r>
          </w:p>
        </w:tc>
        <w:tc>
          <w:tcPr>
            <w:tcW w:w="1037" w:type="dxa"/>
            <w:tcBorders>
              <w:left w:val="nil"/>
              <w:right w:val="nil"/>
            </w:tcBorders>
          </w:tcPr>
          <w:p w14:paraId="10896398" w14:textId="77777777" w:rsidR="00902F9D" w:rsidRPr="00A1555B" w:rsidRDefault="00000000">
            <w:pPr>
              <w:spacing w:before="0" w:after="0"/>
              <w:rPr>
                <w:i/>
                <w:iCs/>
                <w:sz w:val="20"/>
                <w:szCs w:val="20"/>
              </w:rPr>
            </w:pPr>
            <w:r w:rsidRPr="00A1555B">
              <w:rPr>
                <w:i/>
                <w:iCs/>
                <w:sz w:val="20"/>
                <w:szCs w:val="20"/>
              </w:rPr>
              <w:t>1st Qu.</w:t>
            </w:r>
          </w:p>
        </w:tc>
        <w:tc>
          <w:tcPr>
            <w:tcW w:w="990" w:type="dxa"/>
            <w:tcBorders>
              <w:left w:val="nil"/>
              <w:right w:val="nil"/>
            </w:tcBorders>
          </w:tcPr>
          <w:p w14:paraId="01BE7392" w14:textId="77777777" w:rsidR="00902F9D" w:rsidRPr="00A1555B" w:rsidRDefault="00000000">
            <w:pPr>
              <w:spacing w:before="0" w:after="0"/>
              <w:rPr>
                <w:i/>
                <w:iCs/>
                <w:sz w:val="20"/>
                <w:szCs w:val="20"/>
              </w:rPr>
            </w:pPr>
            <w:r w:rsidRPr="00A1555B">
              <w:rPr>
                <w:i/>
                <w:iCs/>
                <w:sz w:val="20"/>
                <w:szCs w:val="20"/>
              </w:rPr>
              <w:t>Median</w:t>
            </w:r>
          </w:p>
        </w:tc>
        <w:tc>
          <w:tcPr>
            <w:tcW w:w="814" w:type="dxa"/>
            <w:tcBorders>
              <w:left w:val="nil"/>
              <w:right w:val="nil"/>
            </w:tcBorders>
          </w:tcPr>
          <w:p w14:paraId="0264681B" w14:textId="77777777" w:rsidR="00902F9D" w:rsidRPr="00A1555B" w:rsidRDefault="00000000">
            <w:pPr>
              <w:spacing w:before="0" w:after="0"/>
              <w:rPr>
                <w:i/>
                <w:iCs/>
                <w:sz w:val="20"/>
                <w:szCs w:val="20"/>
              </w:rPr>
            </w:pPr>
            <w:r w:rsidRPr="00A1555B">
              <w:rPr>
                <w:i/>
                <w:iCs/>
                <w:sz w:val="20"/>
                <w:szCs w:val="20"/>
              </w:rPr>
              <w:t>Mean</w:t>
            </w:r>
          </w:p>
        </w:tc>
        <w:tc>
          <w:tcPr>
            <w:tcW w:w="990" w:type="dxa"/>
            <w:tcBorders>
              <w:left w:val="nil"/>
              <w:right w:val="nil"/>
            </w:tcBorders>
          </w:tcPr>
          <w:p w14:paraId="60FA92E6" w14:textId="77777777" w:rsidR="00902F9D" w:rsidRPr="00A1555B" w:rsidRDefault="00000000">
            <w:pPr>
              <w:spacing w:before="0" w:after="0"/>
              <w:rPr>
                <w:i/>
                <w:iCs/>
                <w:sz w:val="20"/>
                <w:szCs w:val="20"/>
              </w:rPr>
            </w:pPr>
            <w:r w:rsidRPr="00A1555B">
              <w:rPr>
                <w:i/>
                <w:iCs/>
                <w:sz w:val="20"/>
                <w:szCs w:val="20"/>
              </w:rPr>
              <w:t>3rd Qu.</w:t>
            </w:r>
          </w:p>
        </w:tc>
        <w:tc>
          <w:tcPr>
            <w:tcW w:w="990" w:type="dxa"/>
            <w:tcBorders>
              <w:left w:val="nil"/>
              <w:right w:val="nil"/>
            </w:tcBorders>
          </w:tcPr>
          <w:p w14:paraId="07E27026" w14:textId="77777777" w:rsidR="00902F9D" w:rsidRPr="00A1555B" w:rsidRDefault="00000000">
            <w:pPr>
              <w:spacing w:before="0" w:after="0"/>
              <w:rPr>
                <w:i/>
                <w:iCs/>
                <w:sz w:val="20"/>
                <w:szCs w:val="20"/>
              </w:rPr>
            </w:pPr>
            <w:r w:rsidRPr="00A1555B">
              <w:rPr>
                <w:i/>
                <w:iCs/>
                <w:sz w:val="20"/>
                <w:szCs w:val="20"/>
              </w:rPr>
              <w:t>Max.</w:t>
            </w:r>
          </w:p>
        </w:tc>
        <w:tc>
          <w:tcPr>
            <w:tcW w:w="4017" w:type="dxa"/>
            <w:tcBorders>
              <w:left w:val="nil"/>
              <w:right w:val="nil"/>
            </w:tcBorders>
          </w:tcPr>
          <w:p w14:paraId="14F51189" w14:textId="77777777" w:rsidR="00902F9D" w:rsidRPr="00A1555B" w:rsidRDefault="00902F9D">
            <w:pPr>
              <w:spacing w:before="0" w:after="0"/>
              <w:rPr>
                <w:i/>
                <w:iCs/>
                <w:sz w:val="20"/>
                <w:szCs w:val="20"/>
              </w:rPr>
            </w:pPr>
          </w:p>
        </w:tc>
      </w:tr>
      <w:tr w:rsidR="00902F9D" w:rsidRPr="00A1555B" w14:paraId="19909608" w14:textId="77777777">
        <w:tc>
          <w:tcPr>
            <w:tcW w:w="5575" w:type="dxa"/>
            <w:gridSpan w:val="6"/>
            <w:tcBorders>
              <w:left w:val="nil"/>
              <w:right w:val="nil"/>
            </w:tcBorders>
          </w:tcPr>
          <w:p w14:paraId="79EFBBDE" w14:textId="77777777" w:rsidR="00902F9D" w:rsidRPr="00A1555B" w:rsidRDefault="00000000">
            <w:pPr>
              <w:spacing w:before="0" w:after="0"/>
              <w:rPr>
                <w:i/>
                <w:iCs/>
                <w:sz w:val="20"/>
                <w:szCs w:val="20"/>
              </w:rPr>
            </w:pPr>
            <w:r w:rsidRPr="00A1555B">
              <w:rPr>
                <w:i/>
                <w:iCs/>
                <w:sz w:val="20"/>
                <w:szCs w:val="20"/>
              </w:rPr>
              <w:t>Baseline:</w:t>
            </w:r>
          </w:p>
        </w:tc>
        <w:tc>
          <w:tcPr>
            <w:tcW w:w="4017" w:type="dxa"/>
            <w:vMerge w:val="restart"/>
            <w:tcBorders>
              <w:left w:val="nil"/>
              <w:right w:val="nil"/>
            </w:tcBorders>
          </w:tcPr>
          <w:p w14:paraId="7D073BDD"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0F123BEA" wp14:editId="6D5913BC">
                  <wp:extent cx="931238" cy="930759"/>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14"/>
                          <a:srcRect t="13314" r="7857" b="10789"/>
                          <a:stretch>
                            <a:fillRect/>
                          </a:stretch>
                        </pic:blipFill>
                        <pic:spPr bwMode="auto">
                          <a:xfrm>
                            <a:off x="0" y="0"/>
                            <a:ext cx="958128" cy="957635"/>
                          </a:xfrm>
                          <a:prstGeom prst="rect">
                            <a:avLst/>
                          </a:prstGeom>
                        </pic:spPr>
                      </pic:pic>
                    </a:graphicData>
                  </a:graphic>
                </wp:inline>
              </w:drawing>
            </w:r>
          </w:p>
        </w:tc>
      </w:tr>
      <w:tr w:rsidR="00902F9D" w:rsidRPr="00A1555B" w14:paraId="713839E9" w14:textId="77777777">
        <w:tc>
          <w:tcPr>
            <w:tcW w:w="754" w:type="dxa"/>
            <w:tcBorders>
              <w:left w:val="nil"/>
              <w:right w:val="nil"/>
            </w:tcBorders>
          </w:tcPr>
          <w:p w14:paraId="5AD8776A" w14:textId="77777777" w:rsidR="00902F9D" w:rsidRPr="00A1555B" w:rsidRDefault="00000000">
            <w:pPr>
              <w:spacing w:before="0" w:after="0"/>
              <w:rPr>
                <w:i/>
                <w:iCs/>
                <w:sz w:val="20"/>
                <w:szCs w:val="20"/>
              </w:rPr>
            </w:pPr>
            <w:r w:rsidRPr="00A1555B">
              <w:rPr>
                <w:i/>
                <w:iCs/>
                <w:sz w:val="20"/>
                <w:szCs w:val="20"/>
              </w:rPr>
              <w:t>2.000</w:t>
            </w:r>
          </w:p>
        </w:tc>
        <w:tc>
          <w:tcPr>
            <w:tcW w:w="1037" w:type="dxa"/>
            <w:tcBorders>
              <w:left w:val="nil"/>
              <w:right w:val="nil"/>
            </w:tcBorders>
          </w:tcPr>
          <w:p w14:paraId="3D69F46D" w14:textId="77777777" w:rsidR="00902F9D" w:rsidRPr="00A1555B" w:rsidRDefault="00000000">
            <w:pPr>
              <w:spacing w:before="0" w:after="0"/>
              <w:rPr>
                <w:i/>
                <w:iCs/>
                <w:sz w:val="20"/>
                <w:szCs w:val="20"/>
              </w:rPr>
            </w:pPr>
            <w:r w:rsidRPr="00A1555B">
              <w:rPr>
                <w:i/>
                <w:iCs/>
                <w:sz w:val="20"/>
                <w:szCs w:val="20"/>
              </w:rPr>
              <w:t>3.238</w:t>
            </w:r>
          </w:p>
        </w:tc>
        <w:tc>
          <w:tcPr>
            <w:tcW w:w="990" w:type="dxa"/>
            <w:tcBorders>
              <w:left w:val="nil"/>
              <w:right w:val="nil"/>
            </w:tcBorders>
          </w:tcPr>
          <w:p w14:paraId="24D2C80D" w14:textId="77777777" w:rsidR="00902F9D" w:rsidRPr="00A1555B" w:rsidRDefault="00000000">
            <w:pPr>
              <w:spacing w:before="0" w:after="0"/>
              <w:rPr>
                <w:i/>
                <w:iCs/>
                <w:sz w:val="20"/>
                <w:szCs w:val="20"/>
              </w:rPr>
            </w:pPr>
            <w:r w:rsidRPr="00A1555B">
              <w:rPr>
                <w:i/>
                <w:iCs/>
                <w:sz w:val="20"/>
                <w:szCs w:val="20"/>
              </w:rPr>
              <w:t>3.440</w:t>
            </w:r>
          </w:p>
        </w:tc>
        <w:tc>
          <w:tcPr>
            <w:tcW w:w="814" w:type="dxa"/>
            <w:tcBorders>
              <w:left w:val="nil"/>
              <w:right w:val="nil"/>
            </w:tcBorders>
          </w:tcPr>
          <w:p w14:paraId="45515504" w14:textId="77777777" w:rsidR="00902F9D" w:rsidRPr="00A1555B" w:rsidRDefault="00000000">
            <w:pPr>
              <w:spacing w:before="0" w:after="0"/>
              <w:rPr>
                <w:i/>
                <w:iCs/>
                <w:sz w:val="20"/>
                <w:szCs w:val="20"/>
              </w:rPr>
            </w:pPr>
            <w:r w:rsidRPr="00A1555B">
              <w:rPr>
                <w:i/>
                <w:iCs/>
                <w:sz w:val="20"/>
                <w:szCs w:val="20"/>
              </w:rPr>
              <w:t>3.428</w:t>
            </w:r>
          </w:p>
        </w:tc>
        <w:tc>
          <w:tcPr>
            <w:tcW w:w="990" w:type="dxa"/>
            <w:tcBorders>
              <w:left w:val="nil"/>
              <w:right w:val="nil"/>
            </w:tcBorders>
          </w:tcPr>
          <w:p w14:paraId="5C37606E" w14:textId="77777777" w:rsidR="00902F9D" w:rsidRPr="00A1555B" w:rsidRDefault="00000000">
            <w:pPr>
              <w:spacing w:before="0" w:after="0"/>
              <w:rPr>
                <w:i/>
                <w:iCs/>
                <w:sz w:val="20"/>
                <w:szCs w:val="20"/>
              </w:rPr>
            </w:pPr>
            <w:r w:rsidRPr="00A1555B">
              <w:rPr>
                <w:i/>
                <w:iCs/>
                <w:sz w:val="20"/>
                <w:szCs w:val="20"/>
              </w:rPr>
              <w:t>3.643</w:t>
            </w:r>
          </w:p>
        </w:tc>
        <w:tc>
          <w:tcPr>
            <w:tcW w:w="990" w:type="dxa"/>
            <w:tcBorders>
              <w:left w:val="nil"/>
              <w:right w:val="nil"/>
            </w:tcBorders>
          </w:tcPr>
          <w:p w14:paraId="537B3DF7" w14:textId="77777777" w:rsidR="00902F9D" w:rsidRPr="00A1555B" w:rsidRDefault="00000000">
            <w:pPr>
              <w:spacing w:before="0" w:after="0"/>
              <w:rPr>
                <w:i/>
                <w:iCs/>
                <w:sz w:val="20"/>
                <w:szCs w:val="20"/>
              </w:rPr>
            </w:pPr>
            <w:r w:rsidRPr="00A1555B">
              <w:rPr>
                <w:i/>
                <w:iCs/>
                <w:sz w:val="20"/>
                <w:szCs w:val="20"/>
              </w:rPr>
              <w:t>5.000</w:t>
            </w:r>
          </w:p>
        </w:tc>
        <w:tc>
          <w:tcPr>
            <w:tcW w:w="4017" w:type="dxa"/>
            <w:vMerge/>
            <w:tcBorders>
              <w:left w:val="nil"/>
              <w:right w:val="nil"/>
            </w:tcBorders>
          </w:tcPr>
          <w:p w14:paraId="3A051D0C" w14:textId="77777777" w:rsidR="00902F9D" w:rsidRPr="00A1555B" w:rsidRDefault="00902F9D">
            <w:pPr>
              <w:spacing w:before="0" w:after="0"/>
              <w:jc w:val="center"/>
              <w:rPr>
                <w:i/>
                <w:iCs/>
                <w:sz w:val="20"/>
                <w:szCs w:val="20"/>
              </w:rPr>
            </w:pPr>
          </w:p>
        </w:tc>
      </w:tr>
      <w:tr w:rsidR="00902F9D" w:rsidRPr="00A1555B" w14:paraId="13D2AC77" w14:textId="77777777">
        <w:tc>
          <w:tcPr>
            <w:tcW w:w="5575" w:type="dxa"/>
            <w:gridSpan w:val="6"/>
            <w:tcBorders>
              <w:left w:val="nil"/>
              <w:right w:val="nil"/>
            </w:tcBorders>
          </w:tcPr>
          <w:p w14:paraId="151296B5" w14:textId="77777777" w:rsidR="00902F9D" w:rsidRPr="00A1555B" w:rsidRDefault="00000000">
            <w:pPr>
              <w:spacing w:before="0" w:after="0"/>
              <w:rPr>
                <w:i/>
                <w:iCs/>
                <w:sz w:val="20"/>
                <w:szCs w:val="20"/>
              </w:rPr>
            </w:pPr>
            <w:r w:rsidRPr="00A1555B">
              <w:rPr>
                <w:i/>
                <w:iCs/>
                <w:sz w:val="20"/>
                <w:szCs w:val="20"/>
              </w:rPr>
              <w:t>Midline:</w:t>
            </w:r>
          </w:p>
        </w:tc>
        <w:tc>
          <w:tcPr>
            <w:tcW w:w="4017" w:type="dxa"/>
            <w:vMerge w:val="restart"/>
            <w:tcBorders>
              <w:left w:val="nil"/>
              <w:right w:val="nil"/>
            </w:tcBorders>
          </w:tcPr>
          <w:p w14:paraId="052C695C"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6581AA69" wp14:editId="7E0245C0">
                  <wp:extent cx="943856" cy="903426"/>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15"/>
                          <a:srcRect t="15159" r="6738" b="11278"/>
                          <a:stretch>
                            <a:fillRect/>
                          </a:stretch>
                        </pic:blipFill>
                        <pic:spPr bwMode="auto">
                          <a:xfrm>
                            <a:off x="0" y="0"/>
                            <a:ext cx="979884" cy="937910"/>
                          </a:xfrm>
                          <a:prstGeom prst="rect">
                            <a:avLst/>
                          </a:prstGeom>
                        </pic:spPr>
                      </pic:pic>
                    </a:graphicData>
                  </a:graphic>
                </wp:inline>
              </w:drawing>
            </w:r>
          </w:p>
        </w:tc>
      </w:tr>
      <w:tr w:rsidR="00902F9D" w:rsidRPr="00A1555B" w14:paraId="32DE0EF0" w14:textId="77777777">
        <w:tc>
          <w:tcPr>
            <w:tcW w:w="754" w:type="dxa"/>
            <w:tcBorders>
              <w:left w:val="nil"/>
              <w:right w:val="nil"/>
            </w:tcBorders>
          </w:tcPr>
          <w:p w14:paraId="142F13FF" w14:textId="77777777" w:rsidR="00902F9D" w:rsidRPr="00A1555B" w:rsidRDefault="00000000">
            <w:pPr>
              <w:spacing w:before="0" w:after="0"/>
              <w:rPr>
                <w:i/>
                <w:iCs/>
                <w:sz w:val="20"/>
                <w:szCs w:val="20"/>
              </w:rPr>
            </w:pPr>
            <w:r w:rsidRPr="00A1555B">
              <w:rPr>
                <w:i/>
                <w:iCs/>
                <w:sz w:val="20"/>
                <w:szCs w:val="20"/>
              </w:rPr>
              <w:t>2.000</w:t>
            </w:r>
          </w:p>
        </w:tc>
        <w:tc>
          <w:tcPr>
            <w:tcW w:w="1037" w:type="dxa"/>
            <w:tcBorders>
              <w:left w:val="nil"/>
              <w:right w:val="nil"/>
            </w:tcBorders>
          </w:tcPr>
          <w:p w14:paraId="6D1ECB0A" w14:textId="77777777" w:rsidR="00902F9D" w:rsidRPr="00A1555B" w:rsidRDefault="00000000">
            <w:pPr>
              <w:spacing w:before="0" w:after="0"/>
              <w:rPr>
                <w:i/>
                <w:iCs/>
                <w:sz w:val="20"/>
                <w:szCs w:val="20"/>
              </w:rPr>
            </w:pPr>
            <w:r w:rsidRPr="00A1555B">
              <w:rPr>
                <w:i/>
                <w:iCs/>
                <w:sz w:val="20"/>
                <w:szCs w:val="20"/>
              </w:rPr>
              <w:t>3.357</w:t>
            </w:r>
          </w:p>
        </w:tc>
        <w:tc>
          <w:tcPr>
            <w:tcW w:w="990" w:type="dxa"/>
            <w:tcBorders>
              <w:left w:val="nil"/>
              <w:right w:val="nil"/>
            </w:tcBorders>
          </w:tcPr>
          <w:p w14:paraId="516041AF" w14:textId="77777777" w:rsidR="00902F9D" w:rsidRPr="00A1555B" w:rsidRDefault="00000000">
            <w:pPr>
              <w:spacing w:before="0" w:after="0"/>
              <w:rPr>
                <w:i/>
                <w:iCs/>
                <w:sz w:val="20"/>
                <w:szCs w:val="20"/>
              </w:rPr>
            </w:pPr>
            <w:r w:rsidRPr="00A1555B">
              <w:rPr>
                <w:i/>
                <w:iCs/>
                <w:sz w:val="20"/>
                <w:szCs w:val="20"/>
              </w:rPr>
              <w:t>3.595</w:t>
            </w:r>
          </w:p>
        </w:tc>
        <w:tc>
          <w:tcPr>
            <w:tcW w:w="814" w:type="dxa"/>
            <w:tcBorders>
              <w:left w:val="nil"/>
              <w:right w:val="nil"/>
            </w:tcBorders>
          </w:tcPr>
          <w:p w14:paraId="74C4A492" w14:textId="77777777" w:rsidR="00902F9D" w:rsidRPr="00A1555B" w:rsidRDefault="00000000">
            <w:pPr>
              <w:spacing w:before="0" w:after="0"/>
              <w:rPr>
                <w:i/>
                <w:iCs/>
                <w:sz w:val="20"/>
                <w:szCs w:val="20"/>
              </w:rPr>
            </w:pPr>
            <w:r w:rsidRPr="00A1555B">
              <w:rPr>
                <w:i/>
                <w:iCs/>
                <w:sz w:val="20"/>
                <w:szCs w:val="20"/>
              </w:rPr>
              <w:t>3.581</w:t>
            </w:r>
          </w:p>
        </w:tc>
        <w:tc>
          <w:tcPr>
            <w:tcW w:w="990" w:type="dxa"/>
            <w:tcBorders>
              <w:left w:val="nil"/>
              <w:right w:val="nil"/>
            </w:tcBorders>
          </w:tcPr>
          <w:p w14:paraId="36EA789D" w14:textId="77777777" w:rsidR="00902F9D" w:rsidRPr="00A1555B" w:rsidRDefault="00000000">
            <w:pPr>
              <w:spacing w:before="0" w:after="0"/>
              <w:rPr>
                <w:i/>
                <w:iCs/>
                <w:sz w:val="20"/>
                <w:szCs w:val="20"/>
              </w:rPr>
            </w:pPr>
            <w:r w:rsidRPr="00A1555B">
              <w:rPr>
                <w:i/>
                <w:iCs/>
                <w:sz w:val="20"/>
                <w:szCs w:val="20"/>
              </w:rPr>
              <w:t>3.789</w:t>
            </w:r>
          </w:p>
        </w:tc>
        <w:tc>
          <w:tcPr>
            <w:tcW w:w="990" w:type="dxa"/>
            <w:tcBorders>
              <w:left w:val="nil"/>
              <w:right w:val="nil"/>
            </w:tcBorders>
          </w:tcPr>
          <w:p w14:paraId="5C21F760" w14:textId="77777777" w:rsidR="00902F9D" w:rsidRPr="00A1555B" w:rsidRDefault="00000000">
            <w:pPr>
              <w:spacing w:before="0" w:after="0"/>
              <w:rPr>
                <w:i/>
                <w:iCs/>
                <w:sz w:val="20"/>
                <w:szCs w:val="20"/>
              </w:rPr>
            </w:pPr>
            <w:r w:rsidRPr="00A1555B">
              <w:rPr>
                <w:i/>
                <w:iCs/>
                <w:sz w:val="20"/>
                <w:szCs w:val="20"/>
              </w:rPr>
              <w:t>4.667</w:t>
            </w:r>
          </w:p>
        </w:tc>
        <w:tc>
          <w:tcPr>
            <w:tcW w:w="4017" w:type="dxa"/>
            <w:vMerge/>
            <w:tcBorders>
              <w:left w:val="nil"/>
              <w:right w:val="nil"/>
            </w:tcBorders>
          </w:tcPr>
          <w:p w14:paraId="1E1BFDA3" w14:textId="77777777" w:rsidR="00902F9D" w:rsidRPr="00A1555B" w:rsidRDefault="00902F9D">
            <w:pPr>
              <w:spacing w:before="0" w:after="0"/>
              <w:jc w:val="center"/>
              <w:rPr>
                <w:i/>
                <w:iCs/>
                <w:sz w:val="20"/>
                <w:szCs w:val="20"/>
              </w:rPr>
            </w:pPr>
          </w:p>
        </w:tc>
      </w:tr>
      <w:tr w:rsidR="00902F9D" w:rsidRPr="00A1555B" w14:paraId="7BD6A23F" w14:textId="77777777">
        <w:tc>
          <w:tcPr>
            <w:tcW w:w="5575" w:type="dxa"/>
            <w:gridSpan w:val="6"/>
            <w:tcBorders>
              <w:left w:val="nil"/>
              <w:right w:val="nil"/>
            </w:tcBorders>
          </w:tcPr>
          <w:p w14:paraId="0BEFD3EC" w14:textId="77777777" w:rsidR="00902F9D" w:rsidRPr="00A1555B" w:rsidRDefault="00000000">
            <w:pPr>
              <w:spacing w:before="0" w:after="0"/>
              <w:rPr>
                <w:i/>
                <w:iCs/>
                <w:sz w:val="20"/>
                <w:szCs w:val="20"/>
              </w:rPr>
            </w:pPr>
            <w:r w:rsidRPr="00A1555B">
              <w:rPr>
                <w:i/>
                <w:iCs/>
                <w:sz w:val="20"/>
                <w:szCs w:val="20"/>
              </w:rPr>
              <w:t>Endline:</w:t>
            </w:r>
          </w:p>
        </w:tc>
        <w:tc>
          <w:tcPr>
            <w:tcW w:w="4017" w:type="dxa"/>
            <w:vMerge w:val="restart"/>
            <w:tcBorders>
              <w:left w:val="nil"/>
              <w:bottom w:val="nil"/>
              <w:right w:val="nil"/>
            </w:tcBorders>
          </w:tcPr>
          <w:p w14:paraId="0AA1CA32"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79D1A460" wp14:editId="7D4313D6">
                  <wp:extent cx="955695" cy="928297"/>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6"/>
                          <a:srcRect t="14632" r="7543" b="11332"/>
                          <a:stretch>
                            <a:fillRect/>
                          </a:stretch>
                        </pic:blipFill>
                        <pic:spPr bwMode="auto">
                          <a:xfrm>
                            <a:off x="0" y="0"/>
                            <a:ext cx="978909" cy="950846"/>
                          </a:xfrm>
                          <a:prstGeom prst="rect">
                            <a:avLst/>
                          </a:prstGeom>
                        </pic:spPr>
                      </pic:pic>
                    </a:graphicData>
                  </a:graphic>
                </wp:inline>
              </w:drawing>
            </w:r>
          </w:p>
        </w:tc>
      </w:tr>
      <w:tr w:rsidR="00902F9D" w:rsidRPr="00A1555B" w14:paraId="5ED20C33" w14:textId="77777777">
        <w:tc>
          <w:tcPr>
            <w:tcW w:w="754" w:type="dxa"/>
            <w:tcBorders>
              <w:left w:val="nil"/>
              <w:bottom w:val="nil"/>
              <w:right w:val="nil"/>
            </w:tcBorders>
          </w:tcPr>
          <w:p w14:paraId="741B5307" w14:textId="77777777" w:rsidR="00902F9D" w:rsidRPr="00A1555B" w:rsidRDefault="00000000">
            <w:pPr>
              <w:spacing w:before="0" w:after="0"/>
              <w:rPr>
                <w:i/>
                <w:iCs/>
                <w:sz w:val="20"/>
                <w:szCs w:val="20"/>
              </w:rPr>
            </w:pPr>
            <w:r w:rsidRPr="00A1555B">
              <w:rPr>
                <w:i/>
                <w:iCs/>
                <w:sz w:val="20"/>
                <w:szCs w:val="20"/>
              </w:rPr>
              <w:t>2.429</w:t>
            </w:r>
          </w:p>
        </w:tc>
        <w:tc>
          <w:tcPr>
            <w:tcW w:w="1037" w:type="dxa"/>
            <w:tcBorders>
              <w:left w:val="nil"/>
              <w:bottom w:val="nil"/>
              <w:right w:val="nil"/>
            </w:tcBorders>
          </w:tcPr>
          <w:p w14:paraId="574D3565" w14:textId="77777777" w:rsidR="00902F9D" w:rsidRPr="00A1555B" w:rsidRDefault="00000000">
            <w:pPr>
              <w:spacing w:before="0" w:after="0"/>
              <w:rPr>
                <w:i/>
                <w:iCs/>
                <w:sz w:val="20"/>
                <w:szCs w:val="20"/>
              </w:rPr>
            </w:pPr>
            <w:r w:rsidRPr="00A1555B">
              <w:rPr>
                <w:i/>
                <w:iCs/>
                <w:sz w:val="20"/>
                <w:szCs w:val="20"/>
              </w:rPr>
              <w:t>3.443</w:t>
            </w:r>
          </w:p>
        </w:tc>
        <w:tc>
          <w:tcPr>
            <w:tcW w:w="990" w:type="dxa"/>
            <w:tcBorders>
              <w:left w:val="nil"/>
              <w:bottom w:val="nil"/>
              <w:right w:val="nil"/>
            </w:tcBorders>
          </w:tcPr>
          <w:p w14:paraId="4806354A" w14:textId="77777777" w:rsidR="00902F9D" w:rsidRPr="00A1555B" w:rsidRDefault="00000000">
            <w:pPr>
              <w:spacing w:before="0" w:after="0"/>
              <w:rPr>
                <w:i/>
                <w:iCs/>
                <w:sz w:val="20"/>
                <w:szCs w:val="20"/>
              </w:rPr>
            </w:pPr>
            <w:r w:rsidRPr="00A1555B">
              <w:rPr>
                <w:i/>
                <w:iCs/>
                <w:sz w:val="20"/>
                <w:szCs w:val="20"/>
              </w:rPr>
              <w:t>3.629</w:t>
            </w:r>
          </w:p>
        </w:tc>
        <w:tc>
          <w:tcPr>
            <w:tcW w:w="814" w:type="dxa"/>
            <w:tcBorders>
              <w:left w:val="nil"/>
              <w:bottom w:val="nil"/>
              <w:right w:val="nil"/>
            </w:tcBorders>
          </w:tcPr>
          <w:p w14:paraId="31372A4E" w14:textId="77777777" w:rsidR="00902F9D" w:rsidRPr="00A1555B" w:rsidRDefault="00000000">
            <w:pPr>
              <w:spacing w:before="0" w:after="0"/>
              <w:rPr>
                <w:i/>
                <w:iCs/>
                <w:sz w:val="20"/>
                <w:szCs w:val="20"/>
              </w:rPr>
            </w:pPr>
            <w:r w:rsidRPr="00A1555B">
              <w:rPr>
                <w:i/>
                <w:iCs/>
                <w:sz w:val="20"/>
                <w:szCs w:val="20"/>
              </w:rPr>
              <w:t>3.634</w:t>
            </w:r>
          </w:p>
        </w:tc>
        <w:tc>
          <w:tcPr>
            <w:tcW w:w="990" w:type="dxa"/>
            <w:tcBorders>
              <w:left w:val="nil"/>
              <w:bottom w:val="nil"/>
              <w:right w:val="nil"/>
            </w:tcBorders>
          </w:tcPr>
          <w:p w14:paraId="2C5EC4AF" w14:textId="77777777" w:rsidR="00902F9D" w:rsidRPr="00A1555B" w:rsidRDefault="00000000">
            <w:pPr>
              <w:spacing w:before="0" w:after="0"/>
              <w:rPr>
                <w:i/>
                <w:iCs/>
                <w:sz w:val="20"/>
                <w:szCs w:val="20"/>
              </w:rPr>
            </w:pPr>
            <w:r w:rsidRPr="00A1555B">
              <w:rPr>
                <w:i/>
                <w:iCs/>
                <w:sz w:val="20"/>
                <w:szCs w:val="20"/>
              </w:rPr>
              <w:t>3.841</w:t>
            </w:r>
          </w:p>
        </w:tc>
        <w:tc>
          <w:tcPr>
            <w:tcW w:w="990" w:type="dxa"/>
            <w:tcBorders>
              <w:left w:val="nil"/>
              <w:bottom w:val="nil"/>
              <w:right w:val="nil"/>
            </w:tcBorders>
          </w:tcPr>
          <w:p w14:paraId="4AAC38F4" w14:textId="77777777" w:rsidR="00902F9D" w:rsidRPr="00A1555B" w:rsidRDefault="00000000">
            <w:pPr>
              <w:spacing w:before="0" w:after="0"/>
              <w:rPr>
                <w:i/>
                <w:iCs/>
                <w:sz w:val="20"/>
                <w:szCs w:val="20"/>
              </w:rPr>
            </w:pPr>
            <w:r w:rsidRPr="00A1555B">
              <w:rPr>
                <w:i/>
                <w:iCs/>
                <w:sz w:val="20"/>
                <w:szCs w:val="20"/>
              </w:rPr>
              <w:t>4.714</w:t>
            </w:r>
          </w:p>
        </w:tc>
        <w:tc>
          <w:tcPr>
            <w:tcW w:w="4017" w:type="dxa"/>
            <w:vMerge/>
            <w:tcBorders>
              <w:left w:val="nil"/>
              <w:bottom w:val="nil"/>
              <w:right w:val="nil"/>
            </w:tcBorders>
          </w:tcPr>
          <w:p w14:paraId="4C11B824" w14:textId="77777777" w:rsidR="00902F9D" w:rsidRPr="00A1555B" w:rsidRDefault="00902F9D">
            <w:pPr>
              <w:spacing w:before="0" w:after="0"/>
              <w:jc w:val="center"/>
              <w:rPr>
                <w:i/>
                <w:iCs/>
                <w:sz w:val="20"/>
                <w:szCs w:val="20"/>
              </w:rPr>
            </w:pPr>
          </w:p>
        </w:tc>
      </w:tr>
    </w:tbl>
    <w:p w14:paraId="3B2AF98A" w14:textId="77777777" w:rsidR="00902F9D" w:rsidRDefault="00000000">
      <w:pPr>
        <w:pStyle w:val="Heading4"/>
        <w:rPr>
          <w:rFonts w:ascii="Times New Roman" w:hAnsi="Times New Roman" w:cs="Times New Roman"/>
        </w:rPr>
      </w:pPr>
      <w:r>
        <w:rPr>
          <w:rFonts w:ascii="Times New Roman" w:hAnsi="Times New Roman" w:cs="Times New Roman"/>
        </w:rPr>
        <w:lastRenderedPageBreak/>
        <w:t>Competition</w:t>
      </w:r>
    </w:p>
    <w:p w14:paraId="400EDB7D" w14:textId="77777777" w:rsidR="00DC153A" w:rsidRDefault="00000000">
      <w:pPr>
        <w:jc w:val="both"/>
      </w:pPr>
      <w: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623F7931" w14:textId="09F967C6" w:rsidR="00902F9D" w:rsidRPr="00A1555B" w:rsidRDefault="00A1555B">
      <w:pPr>
        <w:jc w:val="both"/>
      </w:pPr>
      <w:r w:rsidRPr="00A1555B">
        <w:rPr>
          <w:i/>
          <w:iCs/>
        </w:rPr>
        <w:t>Registered agro-dealers do receive significantly higher ratings from farmers, but this correlation should be interpreted with care, as the relationship is clearly endogenous.</w:t>
      </w:r>
      <w:r>
        <w:rPr>
          <w:i/>
          <w:iCs/>
        </w:rPr>
        <w:t xml:space="preserve"> We add the following to the manuscript:</w:t>
      </w:r>
    </w:p>
    <w:p w14:paraId="3C4D40D0" w14:textId="577320C7" w:rsidR="00902F9D" w:rsidRPr="00A1555B" w:rsidRDefault="00000000" w:rsidP="00A1555B">
      <w:pPr>
        <w:ind w:left="709"/>
        <w:jc w:val="both"/>
        <w:rPr>
          <w:i/>
          <w:iCs/>
        </w:rPr>
      </w:pPr>
      <w:r>
        <w:rPr>
          <w:i/>
          <w:iCs/>
        </w:rPr>
        <w:t>“</w:t>
      </w:r>
      <w:r w:rsidR="00A1555B" w:rsidRPr="00A1555B">
        <w:rPr>
          <w:i/>
          <w:iCs/>
        </w:rPr>
        <w:t>Agro-shops often display their UNADA</w:t>
      </w:r>
      <w:r w:rsidR="00A1555B">
        <w:rPr>
          <w:i/>
          <w:iCs/>
        </w:rPr>
        <w:t xml:space="preserve"> </w:t>
      </w:r>
      <w:r w:rsidR="00A1555B" w:rsidRPr="00A1555B">
        <w:rPr>
          <w:i/>
          <w:iCs/>
        </w:rPr>
        <w:t>certificates, potentially to inform inspectors and customers about their registration to</w:t>
      </w:r>
      <w:r w:rsidR="00A1555B">
        <w:rPr>
          <w:i/>
          <w:iCs/>
        </w:rPr>
        <w:t xml:space="preserve"> </w:t>
      </w:r>
      <w:r w:rsidR="00A1555B" w:rsidRPr="00A1555B">
        <w:rPr>
          <w:i/>
          <w:iCs/>
        </w:rPr>
        <w:t>signal professionalism and quality.</w:t>
      </w:r>
      <w:r w:rsidR="00A1555B">
        <w:rPr>
          <w:i/>
          <w:iCs/>
        </w:rPr>
        <w:t>”</w:t>
      </w:r>
    </w:p>
    <w:p w14:paraId="7ABC48FF" w14:textId="16AECF3B" w:rsidR="00902F9D" w:rsidRDefault="00000000">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1</w:t>
      </w:r>
      <w:r w:rsidR="00A7624C">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3</w:t>
      </w:r>
      <w:r w:rsidR="00A7624C">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Differential attrition</w:t>
      </w:r>
    </w:p>
    <w:p w14:paraId="6607B331" w14:textId="77777777" w:rsidR="00A7624C" w:rsidRDefault="00000000">
      <w:pPr>
        <w:jc w:val="both"/>
        <w:rPr>
          <w:i/>
          <w:iCs/>
        </w:rPr>
      </w:pPr>
      <w: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t>Second, the literature suggests different methods to deal with differential attrition. One is to construct bounds following Lee (2009).</w:t>
      </w:r>
    </w:p>
    <w:p w14:paraId="2AF0F080" w14:textId="78C98531" w:rsidR="00902F9D" w:rsidRDefault="00000000">
      <w:pPr>
        <w:jc w:val="both"/>
        <w:rPr>
          <w:i/>
          <w:iCs/>
        </w:rPr>
      </w:pPr>
      <w:r>
        <w:rPr>
          <w:i/>
          <w:iCs/>
        </w:rPr>
        <w:t xml:space="preserve">To examine the differential attrition and address this comment, we added the following paragraph to the text and Table </w:t>
      </w:r>
      <w:r w:rsidR="00A7624C" w:rsidRPr="00A7624C">
        <w:rPr>
          <w:i/>
          <w:iCs/>
        </w:rPr>
        <w:t>A1</w:t>
      </w:r>
      <w:r>
        <w:rPr>
          <w:i/>
          <w:iCs/>
        </w:rPr>
        <w:t xml:space="preserve"> to Appendix </w:t>
      </w:r>
      <w:r w:rsidR="00A7624C" w:rsidRPr="00A7624C">
        <w:rPr>
          <w:i/>
          <w:iCs/>
        </w:rPr>
        <w:t>A.2</w:t>
      </w:r>
      <w:r>
        <w:rPr>
          <w:i/>
          <w:iCs/>
        </w:rPr>
        <w:t xml:space="preserve"> and below.</w:t>
      </w:r>
    </w:p>
    <w:p w14:paraId="26CE64F2" w14:textId="0D7E417B" w:rsidR="00902F9D" w:rsidRDefault="00000000" w:rsidP="00A7624C">
      <w:pPr>
        <w:ind w:left="709"/>
        <w:jc w:val="both"/>
        <w:rPr>
          <w:i/>
          <w:iCs/>
        </w:rPr>
      </w:pPr>
      <w:r>
        <w:rPr>
          <w:i/>
          <w:iCs/>
        </w:rPr>
        <w:t>“</w:t>
      </w:r>
      <w:r w:rsidR="00A7624C" w:rsidRPr="00A7624C">
        <w:rPr>
          <w:i/>
          <w:iCs/>
        </w:rPr>
        <w:t>To examine this differential attrition, we run regressions with the variables that</w:t>
      </w:r>
      <w:r w:rsidR="00A7624C">
        <w:rPr>
          <w:i/>
          <w:iCs/>
        </w:rPr>
        <w:t xml:space="preserve"> </w:t>
      </w:r>
      <w:r w:rsidR="00A7624C" w:rsidRPr="00A7624C">
        <w:rPr>
          <w:i/>
          <w:iCs/>
        </w:rPr>
        <w:t>were pre-registered to test balance (see Table 3) as dependent variables and a binary</w:t>
      </w:r>
      <w:r w:rsidR="00A7624C">
        <w:rPr>
          <w:i/>
          <w:iCs/>
        </w:rPr>
        <w:t xml:space="preserve"> </w:t>
      </w:r>
      <w:r w:rsidR="00A7624C" w:rsidRPr="00A7624C">
        <w:rPr>
          <w:i/>
          <w:iCs/>
        </w:rPr>
        <w:t>variable that takes the value one if an agro-dealer left the sample, a binary variable that</w:t>
      </w:r>
      <w:r w:rsidR="00A7624C">
        <w:rPr>
          <w:i/>
          <w:iCs/>
        </w:rPr>
        <w:t xml:space="preserve"> </w:t>
      </w:r>
      <w:r w:rsidR="00A7624C" w:rsidRPr="00A7624C">
        <w:rPr>
          <w:i/>
          <w:iCs/>
        </w:rPr>
        <w:t>takes the value one if an agro-dealer belongs to the clearinghouse control group, and</w:t>
      </w:r>
      <w:r w:rsidR="00A7624C">
        <w:rPr>
          <w:i/>
          <w:iCs/>
        </w:rPr>
        <w:t xml:space="preserve"> </w:t>
      </w:r>
      <w:r w:rsidR="00A7624C" w:rsidRPr="00A7624C">
        <w:rPr>
          <w:i/>
          <w:iCs/>
        </w:rPr>
        <w:t>the interaction between these two indicators as independent variables. The results can</w:t>
      </w:r>
      <w:r w:rsidR="00A7624C">
        <w:rPr>
          <w:i/>
          <w:iCs/>
        </w:rPr>
        <w:t xml:space="preserve"> </w:t>
      </w:r>
      <w:r w:rsidR="00A7624C" w:rsidRPr="00A7624C">
        <w:rPr>
          <w:i/>
          <w:iCs/>
        </w:rPr>
        <w:t>be found in Appendix A.2. Column (2) shows that agro-dealers who left the sample at</w:t>
      </w:r>
      <w:r w:rsidR="00A7624C">
        <w:rPr>
          <w:i/>
          <w:iCs/>
        </w:rPr>
        <w:t xml:space="preserve"> </w:t>
      </w:r>
      <w:r w:rsidR="00A7624C" w:rsidRPr="00A7624C">
        <w:rPr>
          <w:i/>
          <w:iCs/>
        </w:rPr>
        <w:t>midline operate closer to the nearest tarmac road. This is the only significant difference</w:t>
      </w:r>
      <w:r w:rsidR="00A7624C">
        <w:rPr>
          <w:i/>
          <w:iCs/>
        </w:rPr>
        <w:t xml:space="preserve"> </w:t>
      </w:r>
      <w:r w:rsidR="00A7624C" w:rsidRPr="00A7624C">
        <w:rPr>
          <w:i/>
          <w:iCs/>
        </w:rPr>
        <w:t>between agro-dealers who left and those who did not at midline, when differential</w:t>
      </w:r>
      <w:r w:rsidR="00A7624C">
        <w:rPr>
          <w:i/>
          <w:iCs/>
        </w:rPr>
        <w:t xml:space="preserve"> </w:t>
      </w:r>
      <w:r w:rsidR="00A7624C" w:rsidRPr="00A7624C">
        <w:rPr>
          <w:i/>
          <w:iCs/>
        </w:rPr>
        <w:t>attrition was most pronounced, see Table 5. At endline however, agro-dealers who left</w:t>
      </w:r>
      <w:r w:rsidR="00A7624C">
        <w:rPr>
          <w:i/>
          <w:iCs/>
        </w:rPr>
        <w:t xml:space="preserve"> </w:t>
      </w:r>
      <w:r w:rsidR="00A7624C" w:rsidRPr="00A7624C">
        <w:rPr>
          <w:i/>
          <w:iCs/>
        </w:rPr>
        <w:t>the sample were younger, more likely to be female, and their shops were less long in</w:t>
      </w:r>
      <w:r w:rsidR="00A7624C">
        <w:rPr>
          <w:i/>
          <w:iCs/>
        </w:rPr>
        <w:t xml:space="preserve"> </w:t>
      </w:r>
      <w:r w:rsidR="00A7624C" w:rsidRPr="00A7624C">
        <w:rPr>
          <w:i/>
          <w:iCs/>
        </w:rPr>
        <w:t>business, more likely to be specialized, and operated closer to the nearest tarmac road,</w:t>
      </w:r>
      <w:r w:rsidR="00A7624C">
        <w:rPr>
          <w:i/>
          <w:iCs/>
        </w:rPr>
        <w:t xml:space="preserve"> </w:t>
      </w:r>
      <w:r w:rsidR="00A7624C" w:rsidRPr="00A7624C">
        <w:rPr>
          <w:i/>
          <w:iCs/>
        </w:rPr>
        <w:t>see column (5). This implies that agro-dealers who left are different from those who</w:t>
      </w:r>
      <w:r w:rsidR="00A7624C">
        <w:rPr>
          <w:i/>
          <w:iCs/>
        </w:rPr>
        <w:t xml:space="preserve"> </w:t>
      </w:r>
      <w:r w:rsidR="00A7624C" w:rsidRPr="00A7624C">
        <w:rPr>
          <w:i/>
          <w:iCs/>
        </w:rPr>
        <w:t>stayed, independent of whether they have been exposed to the information clearinghouse</w:t>
      </w:r>
      <w:r w:rsidR="00A7624C">
        <w:rPr>
          <w:i/>
          <w:iCs/>
        </w:rPr>
        <w:t xml:space="preserve"> </w:t>
      </w:r>
      <w:r w:rsidR="00A7624C" w:rsidRPr="00A7624C">
        <w:rPr>
          <w:i/>
          <w:iCs/>
        </w:rPr>
        <w:t>or not. We conjecture that these agro-dealers were more vulnerable when COVID-19</w:t>
      </w:r>
      <w:r w:rsidR="00A7624C">
        <w:rPr>
          <w:i/>
          <w:iCs/>
        </w:rPr>
        <w:t xml:space="preserve"> </w:t>
      </w:r>
      <w:r w:rsidR="00A7624C" w:rsidRPr="00A7624C">
        <w:rPr>
          <w:i/>
          <w:iCs/>
        </w:rPr>
        <w:t>hit and went out of business. Columns (3) and (6) show that clearinghouse control</w:t>
      </w:r>
      <w:r w:rsidR="00A7624C">
        <w:rPr>
          <w:i/>
          <w:iCs/>
        </w:rPr>
        <w:t xml:space="preserve"> </w:t>
      </w:r>
      <w:r w:rsidR="00A7624C" w:rsidRPr="00A7624C">
        <w:rPr>
          <w:i/>
          <w:iCs/>
        </w:rPr>
        <w:t>and treated agro-dealers do not differ much, which is also described in Subsection 5.3.</w:t>
      </w:r>
      <w:r w:rsidR="00A7624C">
        <w:rPr>
          <w:i/>
          <w:iCs/>
        </w:rPr>
        <w:t xml:space="preserve"> </w:t>
      </w:r>
      <w:r w:rsidR="00A7624C" w:rsidRPr="00A7624C">
        <w:rPr>
          <w:i/>
          <w:iCs/>
        </w:rPr>
        <w:t>When we look at the interaction between the two indicators, we observe that there</w:t>
      </w:r>
      <w:r w:rsidR="00A7624C">
        <w:rPr>
          <w:i/>
          <w:iCs/>
        </w:rPr>
        <w:t xml:space="preserve"> </w:t>
      </w:r>
      <w:r w:rsidR="00A7624C" w:rsidRPr="00A7624C">
        <w:rPr>
          <w:i/>
          <w:iCs/>
        </w:rPr>
        <w:t>are few differences between agro-dealers who both left the sample and belong to the</w:t>
      </w:r>
      <w:r w:rsidR="00A7624C">
        <w:rPr>
          <w:i/>
          <w:iCs/>
        </w:rPr>
        <w:t xml:space="preserve"> </w:t>
      </w:r>
      <w:r w:rsidR="00A7624C" w:rsidRPr="00A7624C">
        <w:rPr>
          <w:i/>
          <w:iCs/>
        </w:rPr>
        <w:t>information clearinghouse control group and those who do not, so we conclude that</w:t>
      </w:r>
      <w:r w:rsidR="00A7624C">
        <w:rPr>
          <w:i/>
          <w:iCs/>
        </w:rPr>
        <w:t xml:space="preserve"> </w:t>
      </w:r>
      <w:r w:rsidR="00A7624C" w:rsidRPr="00A7624C">
        <w:rPr>
          <w:i/>
          <w:iCs/>
        </w:rPr>
        <w:t>differential attrition is unlikely to bias our estimates.</w:t>
      </w:r>
      <w:r w:rsidR="00A7624C">
        <w:rPr>
          <w:i/>
          <w:iCs/>
        </w:rPr>
        <w:t>”</w:t>
      </w:r>
    </w:p>
    <w:p w14:paraId="6452599F" w14:textId="631F617B" w:rsidR="00A7624C" w:rsidRPr="00A7624C" w:rsidRDefault="00A7624C" w:rsidP="00A7624C">
      <w:pPr>
        <w:jc w:val="both"/>
        <w:rPr>
          <w:i/>
          <w:iCs/>
        </w:rPr>
      </w:pPr>
      <w:r>
        <w:rPr>
          <w:i/>
          <w:iCs/>
          <w:noProof/>
        </w:rPr>
        <w:lastRenderedPageBreak/>
        <w:drawing>
          <wp:inline distT="0" distB="0" distL="0" distR="0" wp14:anchorId="45EBAA50" wp14:editId="43AED573">
            <wp:extent cx="6120130" cy="5238115"/>
            <wp:effectExtent l="0" t="0" r="0" b="0"/>
            <wp:docPr id="976814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14247" name="Picture 9768142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238115"/>
                    </a:xfrm>
                    <a:prstGeom prst="rect">
                      <a:avLst/>
                    </a:prstGeom>
                  </pic:spPr>
                </pic:pic>
              </a:graphicData>
            </a:graphic>
          </wp:inline>
        </w:drawing>
      </w:r>
    </w:p>
    <w:p w14:paraId="57036696" w14:textId="1B60BAA6" w:rsidR="00902F9D" w:rsidRDefault="00000000">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1</w:t>
      </w:r>
      <w:r w:rsidR="00A7624C">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other comments</w:t>
      </w:r>
    </w:p>
    <w:p w14:paraId="38837E0E" w14:textId="51A0B6E2"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4 should also report the number of maize varieties in stock</w:t>
      </w:r>
      <w:r w:rsidR="00A7624C">
        <w:rPr>
          <w:rFonts w:ascii="Times New Roman" w:hAnsi="Times New Roman" w:cs="Times New Roman"/>
          <w:sz w:val="24"/>
          <w:szCs w:val="24"/>
        </w:rPr>
        <w:t xml:space="preserve">, </w:t>
      </w:r>
      <w:r>
        <w:rPr>
          <w:rFonts w:ascii="Times New Roman" w:hAnsi="Times New Roman" w:cs="Times New Roman"/>
          <w:sz w:val="24"/>
          <w:szCs w:val="24"/>
        </w:rPr>
        <w:t>since this outcome variable appears in Table 6.</w:t>
      </w:r>
    </w:p>
    <w:p w14:paraId="2787B8B4" w14:textId="77777777" w:rsidR="00902F9D" w:rsidRDefault="00000000">
      <w:pPr>
        <w:ind w:firstLine="709"/>
        <w:rPr>
          <w:i/>
          <w:iCs/>
        </w:rPr>
      </w:pPr>
      <w:r>
        <w:rPr>
          <w:i/>
          <w:iCs/>
        </w:rPr>
        <w:t>We added this variable to Table 3.</w:t>
      </w:r>
    </w:p>
    <w:p w14:paraId="1CC58E29"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A rough back of the envelope calculation from Tables 6-8 suggests that 56% of revenues come from sales of </w:t>
      </w:r>
      <w:proofErr w:type="spellStart"/>
      <w:r>
        <w:rPr>
          <w:rFonts w:ascii="Times New Roman" w:hAnsi="Times New Roman" w:cs="Times New Roman"/>
          <w:sz w:val="24"/>
          <w:szCs w:val="24"/>
        </w:rPr>
        <w:t>Longe</w:t>
      </w:r>
      <w:proofErr w:type="spellEnd"/>
      <w:r>
        <w:rPr>
          <w:rFonts w:ascii="Times New Roman" w:hAnsi="Times New Roman" w:cs="Times New Roman"/>
          <w:sz w:val="24"/>
          <w:szCs w:val="24"/>
        </w:rPr>
        <w:t xml:space="preserve"> 10H while 41% from </w:t>
      </w:r>
      <w:proofErr w:type="spellStart"/>
      <w:r>
        <w:rPr>
          <w:rFonts w:ascii="Times New Roman" w:hAnsi="Times New Roman" w:cs="Times New Roman"/>
          <w:sz w:val="24"/>
          <w:szCs w:val="24"/>
        </w:rPr>
        <w:t>Longe</w:t>
      </w:r>
      <w:proofErr w:type="spellEnd"/>
      <w:r>
        <w:rPr>
          <w:rFonts w:ascii="Times New Roman" w:hAnsi="Times New Roman" w:cs="Times New Roman"/>
          <w:sz w:val="24"/>
          <w:szCs w:val="24"/>
        </w:rPr>
        <w:t xml:space="preserve"> 5 leaving the remaining 3% of revenues from the sale of the other two varieties… Is this true?</w:t>
      </w:r>
    </w:p>
    <w:p w14:paraId="61EB7A48" w14:textId="77777777" w:rsidR="00902F9D" w:rsidRDefault="00000000">
      <w:pPr>
        <w:ind w:left="709"/>
        <w:rPr>
          <w:i/>
          <w:iCs/>
        </w:rPr>
      </w:pPr>
      <w:r>
        <w:rPr>
          <w:i/>
          <w:iCs/>
        </w:rPr>
        <w:t xml:space="preserve">Table 7 reports the mean quantity sold of </w:t>
      </w:r>
      <w:proofErr w:type="spellStart"/>
      <w:r>
        <w:rPr>
          <w:i/>
          <w:iCs/>
        </w:rPr>
        <w:t>Longe</w:t>
      </w:r>
      <w:proofErr w:type="spellEnd"/>
      <w:r>
        <w:rPr>
          <w:i/>
          <w:iCs/>
        </w:rPr>
        <w:t xml:space="preserve"> 10H only for agro-dealers who had </w:t>
      </w:r>
      <w:proofErr w:type="spellStart"/>
      <w:r>
        <w:rPr>
          <w:i/>
          <w:iCs/>
        </w:rPr>
        <w:t>Longe</w:t>
      </w:r>
      <w:proofErr w:type="spellEnd"/>
      <w:r>
        <w:rPr>
          <w:i/>
          <w:iCs/>
        </w:rPr>
        <w:t xml:space="preserve"> 10H in stock (see footnote 1 of Table 7). Table 8 reports the mean quantity sold of </w:t>
      </w:r>
      <w:proofErr w:type="spellStart"/>
      <w:r>
        <w:rPr>
          <w:i/>
          <w:iCs/>
        </w:rPr>
        <w:t>Longe</w:t>
      </w:r>
      <w:proofErr w:type="spellEnd"/>
      <w:r>
        <w:rPr>
          <w:i/>
          <w:iCs/>
        </w:rPr>
        <w:t xml:space="preserve"> 5 only for agro-dealers who had </w:t>
      </w:r>
      <w:proofErr w:type="spellStart"/>
      <w:r>
        <w:rPr>
          <w:i/>
          <w:iCs/>
        </w:rPr>
        <w:t>Longe</w:t>
      </w:r>
      <w:proofErr w:type="spellEnd"/>
      <w:r>
        <w:rPr>
          <w:i/>
          <w:iCs/>
        </w:rPr>
        <w:t xml:space="preserve"> 5 in stock (see footnote 1 of Table 8). On the other hand, Table 6 reports the mean quantity sold for all agro-dealers. Hence the tables cannot be compared using a simple back of the envelope calculation.</w:t>
      </w:r>
    </w:p>
    <w:p w14:paraId="21BF0F9F"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14:paraId="39C71D14" w14:textId="77777777" w:rsidR="00902F9D" w:rsidRDefault="00000000">
      <w:pPr>
        <w:ind w:left="709"/>
        <w:rPr>
          <w:i/>
          <w:iCs/>
        </w:rPr>
      </w:pPr>
      <w:r>
        <w:rPr>
          <w:i/>
          <w:iCs/>
        </w:rPr>
        <w:lastRenderedPageBreak/>
        <w:t>We appreciate the suggestion but registered this main regression in a pre-analysis plan and the associated econometric analysis in a mock report</w:t>
      </w:r>
      <w:r>
        <w:rPr>
          <w:rStyle w:val="FootnoteReference"/>
          <w:i/>
          <w:iCs/>
        </w:rPr>
        <w:footnoteReference w:id="3"/>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p>
    <w:p w14:paraId="26B36BB3"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4C3766ED" w14:textId="49BD3C02" w:rsidR="00902F9D" w:rsidRDefault="00000000">
      <w:pPr>
        <w:ind w:left="709"/>
        <w:rPr>
          <w:i/>
          <w:iCs/>
        </w:rPr>
      </w:pPr>
      <w:r>
        <w:rPr>
          <w:i/>
          <w:iCs/>
        </w:rPr>
        <w:t>We aggregate different outcomes within each family into summary indices following Anderson</w:t>
      </w:r>
      <w:r w:rsidR="00FF08CA">
        <w:rPr>
          <w:i/>
          <w:iCs/>
        </w:rPr>
        <w:t>,</w:t>
      </w:r>
      <w:r>
        <w:rPr>
          <w:rStyle w:val="FootnoteReference"/>
          <w:i/>
          <w:iCs/>
        </w:rPr>
        <w:footnoteReference w:id="4"/>
      </w:r>
      <w:r>
        <w:rPr>
          <w:i/>
          <w:iCs/>
        </w:rPr>
        <w:t xml:space="preserve">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14:paraId="04747515"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02BC5816" w14:textId="05F37739" w:rsidR="00902F9D" w:rsidRDefault="00000000">
      <w:pPr>
        <w:ind w:left="709"/>
        <w:rPr>
          <w:i/>
          <w:iCs/>
        </w:rPr>
      </w:pPr>
      <w:r>
        <w:rPr>
          <w:i/>
          <w:iCs/>
        </w:rPr>
        <w:t>At endline</w:t>
      </w:r>
      <w:r w:rsidR="00FF08CA">
        <w:rPr>
          <w:i/>
          <w:iCs/>
        </w:rPr>
        <w:t xml:space="preserve">, </w:t>
      </w:r>
      <w:r>
        <w:rPr>
          <w:i/>
          <w:iCs/>
        </w:rPr>
        <w:t>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p>
    <w:p w14:paraId="0E8BF2FA"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29F51007" w14:textId="0FC15B1F" w:rsidR="00902F9D" w:rsidRDefault="00000000">
      <w:pPr>
        <w:ind w:left="709"/>
        <w:jc w:val="both"/>
        <w:rPr>
          <w:i/>
          <w:iCs/>
        </w:rPr>
      </w:pPr>
      <w:r>
        <w:rPr>
          <w:i/>
          <w:iCs/>
        </w:rPr>
        <w:t xml:space="preserve">As part of the </w:t>
      </w:r>
      <w:r w:rsidR="00451CCD">
        <w:rPr>
          <w:i/>
          <w:iCs/>
        </w:rPr>
        <w:t xml:space="preserve">information </w:t>
      </w:r>
      <w:r>
        <w:rPr>
          <w:i/>
          <w:iCs/>
        </w:rPr>
        <w:t xml:space="preserve">clearinghouse treatment, enumerators delivered </w:t>
      </w:r>
      <w:proofErr w:type="spellStart"/>
      <w:r>
        <w:rPr>
          <w:i/>
          <w:iCs/>
        </w:rPr>
        <w:t>SeedAdvisor</w:t>
      </w:r>
      <w:proofErr w:type="spellEnd"/>
      <w:r>
        <w:rPr>
          <w:i/>
          <w:iCs/>
        </w:rPr>
        <w:t xml:space="preserve"> certificates to agro-dealers and encouraged them to prominently display these in their shop, like a “certificate of excellence” from TripAdvisor. Hence ratings were also accessible to individuals outside the experiment, and we are confident that these individuals contribute to the increased number of maize seed customers. We also think it is likely that farmers shared the rating information with their neighbors, etc. in treated catchment areas.</w:t>
      </w:r>
    </w:p>
    <w:p w14:paraId="3974B7A8"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It would be interesting to check if treated farmers were less likely to buy repackaged bags,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smaller quantities of seeds from opened bags)</w:t>
      </w:r>
    </w:p>
    <w:p w14:paraId="4DB67D13" w14:textId="52851699" w:rsidR="00902F9D" w:rsidRDefault="00000000">
      <w:pPr>
        <w:ind w:firstLine="709"/>
        <w:jc w:val="both"/>
        <w:rPr>
          <w:i/>
          <w:iCs/>
        </w:rPr>
      </w:pPr>
      <w:r>
        <w:rPr>
          <w:i/>
          <w:iCs/>
        </w:rPr>
        <w:t xml:space="preserve">We agree but do not have the data to </w:t>
      </w:r>
      <w:r w:rsidR="00FF08CA">
        <w:rPr>
          <w:i/>
          <w:iCs/>
        </w:rPr>
        <w:t>investigate</w:t>
      </w:r>
      <w:r>
        <w:rPr>
          <w:i/>
          <w:iCs/>
        </w:rPr>
        <w:t xml:space="preserve"> this, unfortunately.</w:t>
      </w:r>
    </w:p>
    <w:p w14:paraId="6CE921F5"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Pr>
          <w:rFonts w:ascii="Times New Roman" w:hAnsi="Times New Roman" w:cs="Times New Roman"/>
          <w:sz w:val="24"/>
          <w:szCs w:val="24"/>
        </w:rPr>
        <w:t>participating</w:t>
      </w:r>
      <w:proofErr w:type="gramEnd"/>
      <w:r>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46C8AEF6" w14:textId="3B0C814C" w:rsidR="00902F9D" w:rsidRDefault="00000000">
      <w:pPr>
        <w:ind w:left="709"/>
        <w:rPr>
          <w:i/>
          <w:iCs/>
        </w:rPr>
      </w:pPr>
      <w:r>
        <w:rPr>
          <w:i/>
          <w:iCs/>
        </w:rPr>
        <w:t>Because the treatment does collect and disseminate information, we decided to keep the label “clearinghouse”</w:t>
      </w:r>
      <w:r w:rsidR="00FF08CA">
        <w:rPr>
          <w:i/>
          <w:iCs/>
        </w:rPr>
        <w:t>.</w:t>
      </w:r>
    </w:p>
    <w:p w14:paraId="1BECF00E"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There are several typos throughout the paper so it would benefit from a review by a copy editor.</w:t>
      </w:r>
    </w:p>
    <w:p w14:paraId="6BC21702" w14:textId="77777777" w:rsidR="00902F9D" w:rsidRDefault="00000000">
      <w:pPr>
        <w:ind w:firstLine="709"/>
        <w:rPr>
          <w:i/>
          <w:iCs/>
        </w:rPr>
      </w:pPr>
      <w:r>
        <w:rPr>
          <w:i/>
          <w:iCs/>
        </w:rPr>
        <w:t>The paper was reviewed by a copy editor.</w:t>
      </w:r>
    </w:p>
    <w:p w14:paraId="0FF9A456" w14:textId="77777777" w:rsidR="00902F9D" w:rsidRDefault="00902F9D"/>
    <w:p w14:paraId="77222D6A" w14:textId="77777777"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References</w:t>
      </w:r>
    </w:p>
    <w:p w14:paraId="753521DB" w14:textId="7977DF72" w:rsidR="00902F9D" w:rsidRPr="00653920" w:rsidRDefault="00000000" w:rsidP="00653920">
      <w:pPr>
        <w:rPr>
          <w:rFonts w:eastAsia="Noto Serif CJK SC"/>
        </w:rPr>
      </w:pPr>
      <w:r>
        <w:t>Lee, D. S. 2009. Training, wages, and sample selection: Estimating sharp bounds on treatment effects. Review of Economic Studies 76: 1071–1102.</w:t>
      </w:r>
    </w:p>
    <w:p w14:paraId="1260D369" w14:textId="77777777" w:rsidR="00902F9D" w:rsidRDefault="00000000">
      <w:pPr>
        <w:jc w:val="both"/>
      </w:pPr>
      <w:r>
        <w:t>List, J.A., Shaikh, A.M. &amp; Xu, Y. 2019. Multiple hypothesis testing in experimental economics. Experimental Economics 22: 773–793.</w:t>
      </w:r>
    </w:p>
    <w:p w14:paraId="279B1892" w14:textId="77777777" w:rsidR="00902F9D" w:rsidRDefault="00000000">
      <w:pPr>
        <w:suppressAutoHyphens/>
        <w:rPr>
          <w:rFonts w:eastAsiaTheme="majorEastAsia"/>
          <w:b/>
          <w:bCs/>
          <w:color w:val="2F5496" w:themeColor="accent1" w:themeShade="BF"/>
          <w:sz w:val="26"/>
          <w:szCs w:val="23"/>
        </w:rPr>
      </w:pPr>
      <w:r>
        <w:br w:type="page"/>
      </w:r>
    </w:p>
    <w:p w14:paraId="040A6013" w14:textId="77777777" w:rsidR="00902F9D" w:rsidRDefault="00000000">
      <w:pPr>
        <w:pStyle w:val="Heading2"/>
        <w:spacing w:before="0"/>
        <w:jc w:val="both"/>
        <w:rPr>
          <w:rFonts w:ascii="Times New Roman" w:hAnsi="Times New Roman" w:cs="Times New Roman"/>
          <w:b/>
          <w:bCs/>
        </w:rPr>
      </w:pPr>
      <w:r>
        <w:rPr>
          <w:rFonts w:ascii="Times New Roman" w:hAnsi="Times New Roman" w:cs="Times New Roman"/>
          <w:b/>
          <w:bCs/>
        </w:rPr>
        <w:lastRenderedPageBreak/>
        <w:t>Reviewer 2</w:t>
      </w:r>
    </w:p>
    <w:p w14:paraId="1D1473E0" w14:textId="77777777" w:rsidR="00902F9D" w:rsidRDefault="00000000">
      <w:pPr>
        <w:jc w:val="both"/>
      </w:pPr>
      <w:r>
        <w:t xml:space="preserve">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w:t>
      </w:r>
      <w:proofErr w:type="gramStart"/>
      <w:r>
        <w:t>quality</w:t>
      </w:r>
      <w:proofErr w:type="gramEnd"/>
      <w:r>
        <w:t xml:space="preserve"> and they find no impact from the training intervention.</w:t>
      </w:r>
    </w:p>
    <w:p w14:paraId="34AE09FB" w14:textId="77777777" w:rsidR="00902F9D" w:rsidRDefault="00000000">
      <w:pPr>
        <w:jc w:val="both"/>
      </w:pPr>
      <w:r>
        <w:t xml:space="preserve">Understanding why farmers in low-income countries are under-utilizing high quality agricultural products is a pressing and important topic. This paper implements two treatment arms using factorial design to test whether farmers and agro-dealers change their </w:t>
      </w:r>
      <w:proofErr w:type="spellStart"/>
      <w:r>
        <w:t>behaviour</w:t>
      </w:r>
      <w:proofErr w:type="spellEnd"/>
      <w:r>
        <w:t xml:space="preserve"> for using high-quality seeds. However, the paper has some issues, and I will comment on those below.</w:t>
      </w:r>
    </w:p>
    <w:p w14:paraId="13C19F1A" w14:textId="36B7B610"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2</w:t>
      </w:r>
      <w:r w:rsidR="001E2ABB">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1</w:t>
      </w:r>
    </w:p>
    <w:p w14:paraId="3072BFEB" w14:textId="77777777" w:rsidR="008A119F" w:rsidRDefault="00000000">
      <w:pPr>
        <w:jc w:val="both"/>
      </w:pPr>
      <w:r>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14:paraId="367AF59A" w14:textId="77777777" w:rsidR="008A119F" w:rsidRDefault="00000000">
      <w:pPr>
        <w:jc w:val="both"/>
      </w:pPr>
      <w:r>
        <w:rPr>
          <w:i/>
          <w:iCs/>
        </w:rPr>
        <w:t>It is unclear what the reviewer means by “</w:t>
      </w:r>
      <w:r w:rsidR="001E2ABB" w:rsidRPr="001E2ABB">
        <w:rPr>
          <w:i/>
          <w:iCs/>
        </w:rPr>
        <w:t>real quality check</w:t>
      </w:r>
      <w:r>
        <w:rPr>
          <w:i/>
          <w:iCs/>
        </w:rPr>
        <w:t xml:space="preserve">” and how it differs from </w:t>
      </w:r>
      <w:r w:rsidR="001E2ABB">
        <w:rPr>
          <w:i/>
          <w:iCs/>
        </w:rPr>
        <w:t>“</w:t>
      </w:r>
      <w:proofErr w:type="spellStart"/>
      <w:r w:rsidR="001E2ABB" w:rsidRPr="001E2ABB">
        <w:rPr>
          <w:i/>
          <w:iCs/>
        </w:rPr>
        <w:t>measur</w:t>
      </w:r>
      <w:proofErr w:type="spellEnd"/>
      <w:r w:rsidR="001E2ABB">
        <w:rPr>
          <w:i/>
          <w:iCs/>
        </w:rPr>
        <w:t>[</w:t>
      </w:r>
      <w:proofErr w:type="spellStart"/>
      <w:r w:rsidR="001E2ABB">
        <w:rPr>
          <w:i/>
          <w:iCs/>
        </w:rPr>
        <w:t>ing</w:t>
      </w:r>
      <w:proofErr w:type="spellEnd"/>
      <w:r w:rsidR="001E2ABB">
        <w:rPr>
          <w:i/>
          <w:iCs/>
        </w:rPr>
        <w:t>]</w:t>
      </w:r>
      <w:r w:rsidR="001E2ABB" w:rsidRPr="001E2ABB">
        <w:rPr>
          <w:i/>
          <w:iCs/>
        </w:rPr>
        <w:t xml:space="preserve"> observable quality</w:t>
      </w:r>
      <w:r w:rsidR="001E2ABB">
        <w:rPr>
          <w:i/>
          <w:iCs/>
        </w:rPr>
        <w:t>”</w:t>
      </w:r>
      <w:r w:rsidR="008A119F">
        <w:rPr>
          <w:i/>
          <w:iCs/>
        </w:rPr>
        <w:t xml:space="preserve">. </w:t>
      </w:r>
      <w:r>
        <w:rPr>
          <w:i/>
          <w:iCs/>
        </w:rPr>
        <w:t>For instance</w:t>
      </w:r>
      <w:r w:rsidR="008A119F">
        <w:rPr>
          <w:i/>
          <w:iCs/>
        </w:rPr>
        <w:t xml:space="preserve">, </w:t>
      </w:r>
      <w:r>
        <w:rPr>
          <w:i/>
          <w:iCs/>
        </w:rPr>
        <w:t xml:space="preserve">we measure moisture content, which </w:t>
      </w:r>
      <w:r w:rsidR="008A119F">
        <w:rPr>
          <w:i/>
          <w:iCs/>
        </w:rPr>
        <w:t xml:space="preserve">is </w:t>
      </w:r>
      <w:r>
        <w:rPr>
          <w:i/>
          <w:iCs/>
        </w:rPr>
        <w:t>an extremely powerful predictor for germination rates,</w:t>
      </w:r>
      <w:r w:rsidR="00EF1555">
        <w:rPr>
          <w:rStyle w:val="FootnoteReference"/>
          <w:i/>
          <w:iCs/>
        </w:rPr>
        <w:footnoteReference w:id="5"/>
      </w:r>
      <w:r>
        <w:rPr>
          <w:i/>
          <w:iCs/>
        </w:rPr>
        <w:t xml:space="preserve"> which in turn determine what matters for farmers: yields and profits.</w:t>
      </w:r>
    </w:p>
    <w:p w14:paraId="19C509BB" w14:textId="77777777" w:rsidR="008A119F" w:rsidRDefault="00000000">
      <w:pPr>
        <w:jc w:val="both"/>
      </w:pPr>
      <w:r>
        <w:rPr>
          <w:i/>
          <w:iCs/>
        </w:rPr>
        <w:t>Perhaps the reviewer is hinting at establishing varietal purity of a particular seed, which is complicated, expensive, and some would argue that it is not even possible (</w:t>
      </w:r>
      <w:r w:rsidR="008A119F">
        <w:rPr>
          <w:i/>
          <w:iCs/>
        </w:rPr>
        <w:t>e</w:t>
      </w:r>
      <w:r w:rsidR="008A119F" w:rsidRPr="008A119F">
        <w:rPr>
          <w:i/>
          <w:iCs/>
        </w:rPr>
        <w:t>ven with the best methods, significant measurement error remains</w:t>
      </w:r>
      <w:r>
        <w:rPr>
          <w:i/>
          <w:iCs/>
        </w:rPr>
        <w:t>)</w:t>
      </w:r>
      <w:r w:rsidR="008A119F">
        <w:rPr>
          <w:i/>
          <w:iCs/>
        </w:rPr>
        <w:t>.</w:t>
      </w:r>
      <w:r>
        <w:rPr>
          <w:rStyle w:val="FootnoteReference"/>
          <w:i/>
          <w:iCs/>
        </w:rPr>
        <w:footnoteReference w:id="6"/>
      </w:r>
      <w:r>
        <w:rPr>
          <w:i/>
          <w:iCs/>
        </w:rPr>
        <w:t xml:space="preserve"> We think that farmers care more about seed performance (</w:t>
      </w:r>
      <w:r w:rsidR="008A119F">
        <w:rPr>
          <w:i/>
          <w:iCs/>
        </w:rPr>
        <w:t>for example</w:t>
      </w:r>
      <w:r>
        <w:rPr>
          <w:i/>
          <w:iCs/>
        </w:rPr>
        <w:t xml:space="preserve">, germination rate, vigor, and yield) than about varietal purity, which may be </w:t>
      </w:r>
      <w:r w:rsidR="008A119F">
        <w:rPr>
          <w:i/>
          <w:iCs/>
        </w:rPr>
        <w:t xml:space="preserve">only </w:t>
      </w:r>
      <w:r>
        <w:rPr>
          <w:i/>
          <w:iCs/>
        </w:rPr>
        <w:t>weakly correlated. The opinion of peers who are familiar with the heterogeneous conditions smallholder farmers face, and their perceptions of how seed performs, may be more useful for them than the result of a DNA test.</w:t>
      </w:r>
    </w:p>
    <w:p w14:paraId="4A472307" w14:textId="7D533483" w:rsidR="00385ABF" w:rsidRDefault="00000000">
      <w:pPr>
        <w:jc w:val="both"/>
      </w:pPr>
      <w:r>
        <w:rPr>
          <w:i/>
          <w:iCs/>
        </w:rPr>
        <w:t xml:space="preserve">Even though we do not test varietal purity of the seeds agro-dealers sell or farmers plant, we do find that </w:t>
      </w:r>
      <w:r w:rsidR="00BF7016">
        <w:rPr>
          <w:i/>
          <w:iCs/>
        </w:rPr>
        <w:t xml:space="preserve">information </w:t>
      </w:r>
      <w:r>
        <w:rPr>
          <w:i/>
          <w:iCs/>
        </w:rPr>
        <w:t xml:space="preserve">clearinghouse treated farmers are more likely to turn to formal seed systems: they are more likely to report to have planted a hybrid or open pollinated variety, and seed of varieties </w:t>
      </w:r>
      <w:proofErr w:type="spellStart"/>
      <w:r>
        <w:rPr>
          <w:i/>
          <w:iCs/>
        </w:rPr>
        <w:t>Longe</w:t>
      </w:r>
      <w:proofErr w:type="spellEnd"/>
      <w:r>
        <w:rPr>
          <w:i/>
          <w:iCs/>
        </w:rPr>
        <w:t xml:space="preserve"> 4/ 5/ 6H/ 7H/ 7R/ 10H, Bazooka, Panner, Wema, KH series, or other hybrid/ OPV (as opposed to local farmer-saved seed).</w:t>
      </w:r>
    </w:p>
    <w:p w14:paraId="429AB216" w14:textId="77777777" w:rsidR="00385ABF" w:rsidRDefault="005873D9" w:rsidP="00385ABF">
      <w:pPr>
        <w:jc w:val="both"/>
      </w:pPr>
      <w:r>
        <w:t>Hence</w:t>
      </w:r>
      <w:r w:rsidR="00385ABF">
        <w:t xml:space="preserve">, </w:t>
      </w:r>
      <w:r>
        <w:t xml:space="preserve">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w:t>
      </w:r>
      <w:r>
        <w:lastRenderedPageBreak/>
        <w:t>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14:paraId="2B0F22E9" w14:textId="7C1276E1" w:rsidR="00385ABF" w:rsidRPr="00385ABF" w:rsidRDefault="00000000" w:rsidP="00385ABF">
      <w:pPr>
        <w:jc w:val="both"/>
      </w:pPr>
      <w:r>
        <w:rPr>
          <w:i/>
          <w:iCs/>
        </w:rPr>
        <w:t>After carefully re-reading the paper</w:t>
      </w:r>
      <w:r w:rsidR="00BF7016">
        <w:rPr>
          <w:i/>
          <w:iCs/>
        </w:rPr>
        <w:t xml:space="preserve">, </w:t>
      </w:r>
      <w:r>
        <w:rPr>
          <w:i/>
          <w:iCs/>
        </w:rPr>
        <w:t xml:space="preserve">we do not feel that we overpromise or claim to have improved quality: we claim to find that the clearinghouse increases effort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t>
      </w:r>
      <w:r w:rsidR="00385ABF">
        <w:rPr>
          <w:i/>
          <w:iCs/>
        </w:rPr>
        <w:t>In several instances, w</w:t>
      </w:r>
      <w:r>
        <w:rPr>
          <w:i/>
          <w:iCs/>
        </w:rPr>
        <w:t xml:space="preserve">e even </w:t>
      </w:r>
      <w:r w:rsidR="00385ABF">
        <w:rPr>
          <w:i/>
          <w:iCs/>
        </w:rPr>
        <w:t>describe</w:t>
      </w:r>
      <w:r>
        <w:rPr>
          <w:i/>
          <w:iCs/>
        </w:rPr>
        <w:t xml:space="preserve"> that we think changes in perceptions ha</w:t>
      </w:r>
      <w:r w:rsidR="00385ABF">
        <w:rPr>
          <w:i/>
          <w:iCs/>
        </w:rPr>
        <w:t>ve</w:t>
      </w:r>
      <w:r>
        <w:rPr>
          <w:i/>
          <w:iCs/>
        </w:rPr>
        <w:t xml:space="preserve"> been more important:</w:t>
      </w:r>
    </w:p>
    <w:p w14:paraId="660F556C" w14:textId="6A42A084" w:rsidR="00902F9D" w:rsidRPr="00385ABF" w:rsidRDefault="00385ABF" w:rsidP="00385ABF">
      <w:pPr>
        <w:ind w:left="709"/>
        <w:jc w:val="both"/>
        <w:rPr>
          <w:i/>
          <w:iCs/>
        </w:rPr>
      </w:pPr>
      <w:r>
        <w:rPr>
          <w:i/>
          <w:iCs/>
        </w:rPr>
        <w:t xml:space="preserve">For example, </w:t>
      </w:r>
      <w:r w:rsidR="00000000">
        <w:rPr>
          <w:i/>
          <w:iCs/>
        </w:rPr>
        <w:t>“</w:t>
      </w:r>
      <w:r w:rsidRPr="00385ABF">
        <w:rPr>
          <w:i/>
          <w:iCs/>
        </w:rPr>
        <w:t>We find some evidence that this treatment</w:t>
      </w:r>
      <w:r>
        <w:rPr>
          <w:i/>
          <w:iCs/>
        </w:rPr>
        <w:t xml:space="preserve"> </w:t>
      </w:r>
      <w:r w:rsidRPr="00385ABF">
        <w:rPr>
          <w:i/>
          <w:iCs/>
        </w:rPr>
        <w:t>induced farmers to switch between agro-dealers,</w:t>
      </w:r>
      <w:r>
        <w:rPr>
          <w:i/>
          <w:iCs/>
        </w:rPr>
        <w:t xml:space="preserve"> </w:t>
      </w:r>
      <w:r w:rsidRPr="00385ABF">
        <w:rPr>
          <w:i/>
          <w:iCs/>
        </w:rPr>
        <w:t>but most of the impact on farmer</w:t>
      </w:r>
      <w:r>
        <w:rPr>
          <w:i/>
          <w:iCs/>
        </w:rPr>
        <w:t xml:space="preserve"> </w:t>
      </w:r>
      <w:r w:rsidRPr="00385ABF">
        <w:rPr>
          <w:i/>
          <w:iCs/>
        </w:rPr>
        <w:t>outcomes seems to be driven by the clearinghouse improving farmers’ opinions of agro</w:t>
      </w:r>
      <w:r>
        <w:rPr>
          <w:i/>
          <w:iCs/>
        </w:rPr>
        <w:t>-</w:t>
      </w:r>
      <w:r w:rsidRPr="00385ABF">
        <w:rPr>
          <w:i/>
          <w:iCs/>
        </w:rPr>
        <w:t>dealers</w:t>
      </w:r>
      <w:r>
        <w:rPr>
          <w:i/>
          <w:iCs/>
        </w:rPr>
        <w:t xml:space="preserve"> </w:t>
      </w:r>
      <w:r w:rsidRPr="00385ABF">
        <w:rPr>
          <w:i/>
          <w:iCs/>
        </w:rPr>
        <w:t>and their products.</w:t>
      </w:r>
      <w:r>
        <w:rPr>
          <w:i/>
          <w:iCs/>
        </w:rPr>
        <w:t>” (in conclusion)</w:t>
      </w:r>
    </w:p>
    <w:p w14:paraId="754D00D9" w14:textId="7A30465B" w:rsidR="00902F9D" w:rsidRPr="00BF7016" w:rsidRDefault="00BF7016">
      <w:pPr>
        <w:jc w:val="both"/>
        <w:rPr>
          <w:i/>
          <w:iCs/>
        </w:rPr>
      </w:pPr>
      <w:r>
        <w:rPr>
          <w:i/>
          <w:iCs/>
        </w:rPr>
        <w:t>E</w:t>
      </w:r>
      <w:r>
        <w:rPr>
          <w:i/>
          <w:iCs/>
        </w:rPr>
        <w:t xml:space="preserve">ven the title states that we are concerned with </w:t>
      </w:r>
      <w:r>
        <w:rPr>
          <w:i/>
          <w:iCs/>
        </w:rPr>
        <w:t>t</w:t>
      </w:r>
      <w:r w:rsidRPr="00BF7016">
        <w:rPr>
          <w:i/>
          <w:iCs/>
        </w:rPr>
        <w:t xml:space="preserve">he </w:t>
      </w:r>
      <w:r w:rsidRPr="00BF7016">
        <w:t>perceived</w:t>
      </w:r>
      <w:r w:rsidRPr="00BF7016">
        <w:rPr>
          <w:i/>
          <w:iCs/>
        </w:rPr>
        <w:t xml:space="preserve"> quality of agricultural technology and its adoption</w:t>
      </w:r>
      <w:r>
        <w:rPr>
          <w:i/>
          <w:iCs/>
        </w:rPr>
        <w:t>.</w:t>
      </w:r>
      <w:r>
        <w:rPr>
          <w:i/>
          <w:iCs/>
        </w:rPr>
        <w:t xml:space="preserve"> </w:t>
      </w:r>
      <w:r w:rsidR="00000000">
        <w:rPr>
          <w:i/>
          <w:iCs/>
        </w:rPr>
        <w:t xml:space="preserve">While we believe that the paper does deal with quality, not only with quality perceptions (especially the training aims at changing quality itself through improved seed handing, not at changing perceptions), we agree that perceptions are at the heart of the </w:t>
      </w:r>
      <w:r>
        <w:rPr>
          <w:i/>
          <w:iCs/>
        </w:rPr>
        <w:t xml:space="preserve">information </w:t>
      </w:r>
      <w:r w:rsidR="00000000">
        <w:rPr>
          <w:i/>
          <w:iCs/>
        </w:rPr>
        <w:t>clearinghouse mechanism. To be more upfront with what we can and cannot measure, we rewrote some parts of the text.</w:t>
      </w:r>
    </w:p>
    <w:p w14:paraId="26268543" w14:textId="59616988"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2</w:t>
      </w:r>
      <w:r w:rsidR="00451CCD">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2</w:t>
      </w:r>
    </w:p>
    <w:p w14:paraId="3FC86B14" w14:textId="77777777" w:rsidR="00451CCD" w:rsidRDefault="00000000" w:rsidP="00451CCD">
      <w:pPr>
        <w:jc w:val="both"/>
      </w:pPr>
      <w:r>
        <w:t xml:space="preserve">The authors find an impact of the clearinghouse treatment arm, where they have asked farmers to rate different agro-dealers and then provide this information to other farmers and </w:t>
      </w:r>
      <w:proofErr w:type="gramStart"/>
      <w:r>
        <w:t>dealers</w:t>
      </w:r>
      <w:proofErr w:type="gramEnd"/>
      <w:r>
        <w:t xml:space="preserve">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w:t>
      </w:r>
      <w:proofErr w:type="gramStart"/>
      <w:r>
        <w:t>period of time</w:t>
      </w:r>
      <w:proofErr w:type="gramEnd"/>
      <w:r>
        <w:t xml:space="preserve"> in a humid and hot climate), and therefore, the yield increases. This has nothing to do with the dealer changing the quality of the seed; it is only because the seeds are sold faster due to higher demand. This is a different channel from the one discussed in the paper.</w:t>
      </w:r>
    </w:p>
    <w:p w14:paraId="213D3585" w14:textId="77777777" w:rsidR="00645CF5" w:rsidRDefault="00000000">
      <w:pPr>
        <w:jc w:val="both"/>
      </w:pPr>
      <w:r>
        <w:rPr>
          <w:i/>
          <w:iCs/>
        </w:rPr>
        <w:t>First</w:t>
      </w:r>
      <w:r w:rsidR="00451CCD">
        <w:rPr>
          <w:i/>
          <w:iCs/>
        </w:rPr>
        <w:t xml:space="preserve">, </w:t>
      </w:r>
      <w:r>
        <w:rPr>
          <w:i/>
          <w:iCs/>
        </w:rPr>
        <w:t xml:space="preserve">as already mentioned in the previous comment, we do not </w:t>
      </w:r>
      <w:r w:rsidR="00451CCD">
        <w:rPr>
          <w:i/>
          <w:iCs/>
        </w:rPr>
        <w:t>claim</w:t>
      </w:r>
      <w:r>
        <w:rPr>
          <w:i/>
          <w:iCs/>
        </w:rPr>
        <w:t xml:space="preserve"> that agro-dealer</w:t>
      </w:r>
      <w:r w:rsidR="00451CCD">
        <w:rPr>
          <w:i/>
          <w:iCs/>
        </w:rPr>
        <w:t>s</w:t>
      </w:r>
      <w:r>
        <w:rPr>
          <w:i/>
          <w:iCs/>
        </w:rPr>
        <w:t xml:space="preserve"> sell better quality seeds or ha</w:t>
      </w:r>
      <w:r w:rsidR="00451CCD">
        <w:rPr>
          <w:i/>
          <w:iCs/>
        </w:rPr>
        <w:t>ve</w:t>
      </w:r>
      <w:r>
        <w:rPr>
          <w:i/>
          <w:iCs/>
        </w:rPr>
        <w:t xml:space="preserve"> improved their seeds.</w:t>
      </w:r>
      <w:r w:rsidR="00451CCD">
        <w:rPr>
          <w:i/>
          <w:iCs/>
        </w:rPr>
        <w:t xml:space="preserve"> Instead, (genetically) “improved”</w:t>
      </w:r>
      <w:r w:rsidR="00451CCD" w:rsidRPr="00451CCD">
        <w:rPr>
          <w:i/>
          <w:iCs/>
        </w:rPr>
        <w:t xml:space="preserve"> maize varieties refer to </w:t>
      </w:r>
      <w:r w:rsidR="00451CCD">
        <w:rPr>
          <w:i/>
          <w:iCs/>
        </w:rPr>
        <w:t xml:space="preserve">any </w:t>
      </w:r>
      <w:r w:rsidR="00451CCD" w:rsidRPr="00451CCD">
        <w:rPr>
          <w:i/>
          <w:iCs/>
        </w:rPr>
        <w:t>open-pollinated variet</w:t>
      </w:r>
      <w:r w:rsidR="00451CCD">
        <w:rPr>
          <w:i/>
          <w:iCs/>
        </w:rPr>
        <w:t>y</w:t>
      </w:r>
      <w:r w:rsidR="00451CCD" w:rsidRPr="00451CCD">
        <w:rPr>
          <w:i/>
          <w:iCs/>
        </w:rPr>
        <w:t xml:space="preserve"> </w:t>
      </w:r>
      <w:r w:rsidR="00451CCD">
        <w:rPr>
          <w:i/>
          <w:iCs/>
        </w:rPr>
        <w:t>or</w:t>
      </w:r>
      <w:r w:rsidR="00451CCD" w:rsidRPr="00451CCD">
        <w:rPr>
          <w:i/>
          <w:iCs/>
        </w:rPr>
        <w:t xml:space="preserve"> hybrid.</w:t>
      </w:r>
    </w:p>
    <w:p w14:paraId="492CCD62" w14:textId="15CEF8AF" w:rsidR="00902F9D" w:rsidRPr="00451CCD" w:rsidRDefault="00000000">
      <w:pPr>
        <w:jc w:val="both"/>
      </w:pPr>
      <w:r>
        <w:rPr>
          <w:i/>
          <w:iCs/>
        </w:rPr>
        <w:t>However</w:t>
      </w:r>
      <w:r w:rsidR="00645CF5">
        <w:rPr>
          <w:i/>
          <w:iCs/>
        </w:rPr>
        <w:t xml:space="preserve">, </w:t>
      </w:r>
      <w:r>
        <w:rPr>
          <w:i/>
          <w:iCs/>
        </w:rPr>
        <w:t xml:space="preserve">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much more narrowly, </w:t>
      </w:r>
      <w:r w:rsidR="005873D9">
        <w:rPr>
          <w:i/>
          <w:iCs/>
        </w:rPr>
        <w:t>for example</w:t>
      </w:r>
      <w:r>
        <w:rPr>
          <w:i/>
          <w:iCs/>
        </w:rPr>
        <w:t xml:space="preserve">, as varietal purity (indicating whether the seed embodies the genetic characteristics of a specific variety) which clearly would not change if storage time decreases. To avoid similar misunderstandings in the future, we added a new footnote </w:t>
      </w:r>
      <w:r w:rsidR="00645CF5">
        <w:rPr>
          <w:i/>
          <w:iCs/>
        </w:rPr>
        <w:t>to</w:t>
      </w:r>
      <w:r>
        <w:rPr>
          <w:i/>
          <w:iCs/>
        </w:rPr>
        <w:t xml:space="preserve"> the introduction:</w:t>
      </w:r>
    </w:p>
    <w:p w14:paraId="070B62EE" w14:textId="67F6EFC5" w:rsidR="00902F9D" w:rsidRPr="00645CF5" w:rsidRDefault="00000000" w:rsidP="00645CF5">
      <w:pPr>
        <w:ind w:left="700"/>
        <w:jc w:val="both"/>
        <w:rPr>
          <w:i/>
          <w:iCs/>
        </w:rPr>
      </w:pPr>
      <w:r>
        <w:rPr>
          <w:i/>
          <w:iCs/>
        </w:rPr>
        <w:t>“</w:t>
      </w:r>
      <w:r w:rsidR="00645CF5" w:rsidRPr="00645CF5">
        <w:rPr>
          <w:i/>
          <w:iCs/>
        </w:rPr>
        <w:t>It is important to note that our definition of maize seed quality extends beyond narrow criteria such as varietal purity (in other words, confirming the seed is of the expected variety) to include broader dimensions like seed germination and plant vigor. This is because, while some storage and handling practices may affect varietal purity (for example, mixing seed, mislabeling, etc.), most practices we will focus on in our study would affect seed performance. Furthermore, it is not unlikely that farmers care more about seed performance than about varietal purity.</w:t>
      </w:r>
      <w:r>
        <w:rPr>
          <w:i/>
          <w:iCs/>
        </w:rPr>
        <w:t>”</w:t>
      </w:r>
    </w:p>
    <w:p w14:paraId="5ADF007A" w14:textId="6AB4A346"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lastRenderedPageBreak/>
        <w:t>Reviewer 2</w:t>
      </w:r>
      <w:r w:rsidR="00645CF5">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3</w:t>
      </w:r>
    </w:p>
    <w:p w14:paraId="08F67AFC" w14:textId="77777777" w:rsidR="00803D53" w:rsidRDefault="00000000">
      <w:pPr>
        <w:jc w:val="both"/>
      </w:pPr>
      <w:r>
        <w:t>The clearinghouse treatment is also a mixed treatment where both buyers and sellers are informed about the ranking of the agro-dealers in the vicinity. The authors cannot say whether it is information to buyers or sellers that is important for the impact.</w:t>
      </w:r>
    </w:p>
    <w:p w14:paraId="1028D7AE" w14:textId="77777777" w:rsidR="00803D53" w:rsidRDefault="00000000">
      <w:pPr>
        <w:jc w:val="both"/>
      </w:pPr>
      <w:r>
        <w:rPr>
          <w:i/>
          <w:iCs/>
        </w:rPr>
        <w:t>Indeed</w:t>
      </w:r>
      <w:r w:rsidR="00803D53">
        <w:rPr>
          <w:i/>
          <w:iCs/>
        </w:rPr>
        <w:t xml:space="preserve">, </w:t>
      </w:r>
      <w:r>
        <w:rPr>
          <w:i/>
          <w:iCs/>
        </w:rPr>
        <w:t>the complexity of real-world conditions often necessitates multifaceted interventions</w:t>
      </w:r>
      <w:r w:rsidR="00645CF5">
        <w:rPr>
          <w:i/>
          <w:iCs/>
        </w:rPr>
        <w:t xml:space="preserve">, </w:t>
      </w:r>
      <w:r>
        <w:rPr>
          <w:i/>
          <w:iCs/>
        </w:rPr>
        <w:t xml:space="preserve">sometimes called Socio-Technical Innovation Bundles in </w:t>
      </w:r>
      <w:r w:rsidR="00645CF5">
        <w:rPr>
          <w:i/>
          <w:iCs/>
        </w:rPr>
        <w:t>f</w:t>
      </w:r>
      <w:r>
        <w:rPr>
          <w:i/>
          <w:iCs/>
        </w:rPr>
        <w:t xml:space="preserve">ood </w:t>
      </w:r>
      <w:r w:rsidR="00645CF5">
        <w:rPr>
          <w:i/>
          <w:iCs/>
        </w:rPr>
        <w:t>s</w:t>
      </w:r>
      <w:r>
        <w:rPr>
          <w:i/>
          <w:iCs/>
        </w:rPr>
        <w:t xml:space="preserve">ystems </w:t>
      </w:r>
      <w:r w:rsidR="00645CF5">
        <w:rPr>
          <w:i/>
          <w:iCs/>
        </w:rPr>
        <w:t>r</w:t>
      </w:r>
      <w:r>
        <w:rPr>
          <w:i/>
          <w:iCs/>
        </w:rPr>
        <w:t>esearc</w:t>
      </w:r>
      <w:r w:rsidR="00645CF5">
        <w:rPr>
          <w:i/>
          <w:iCs/>
        </w:rPr>
        <w:t>h,</w:t>
      </w:r>
      <w:r w:rsidR="00645CF5">
        <w:rPr>
          <w:rStyle w:val="FootnoteReference"/>
          <w:i/>
          <w:iCs/>
        </w:rPr>
        <w:footnoteReference w:id="7"/>
      </w:r>
      <w:r w:rsidR="00645CF5">
        <w:rPr>
          <w:i/>
          <w:iCs/>
        </w:rPr>
        <w:t xml:space="preserve"> </w:t>
      </w:r>
      <w:r>
        <w:rPr>
          <w:i/>
          <w:iCs/>
        </w:rPr>
        <w:t xml:space="preserve">which can make it challenging to isolate the specific elements of the treatment that drive the observed impact. However, such comprehensive approaches are </w:t>
      </w:r>
      <w:r w:rsidR="00803D53">
        <w:rPr>
          <w:i/>
          <w:iCs/>
        </w:rPr>
        <w:t>often</w:t>
      </w:r>
      <w:r>
        <w:rPr>
          <w:i/>
          <w:iCs/>
        </w:rPr>
        <w:t xml:space="preserve"> essential to effectively address the intricate dynamics at play. In a market characterized by asymmetric information, targeting the interaction between buyers and sellers and making information available to all partners seemed like a promising </w:t>
      </w:r>
      <w:proofErr w:type="spellStart"/>
      <w:r>
        <w:rPr>
          <w:i/>
          <w:iCs/>
        </w:rPr>
        <w:t>approach.</w:t>
      </w:r>
      <w:proofErr w:type="spellEnd"/>
    </w:p>
    <w:p w14:paraId="3D5A25B3" w14:textId="77777777" w:rsidR="00803D53" w:rsidRDefault="00000000">
      <w:pPr>
        <w:jc w:val="both"/>
      </w:pPr>
      <w:r>
        <w:rPr>
          <w:i/>
          <w:iCs/>
        </w:rPr>
        <w:t>We do our best to disentangle ex-post how the intervention works, and which aspect of the treatment made the difference by illustrating the different impact pathways in Section 7. Our findings suggest that informing both buyers and sellers is important: Informing buyers seems to increase customer base, suggesting perceptions is an important impact pathway. Informing sellers prompts agro-dealers to expand service provision and signal quality to farmers to outperform their competitors.</w:t>
      </w:r>
    </w:p>
    <w:p w14:paraId="6FBE31B3" w14:textId="4DAC9D88" w:rsidR="00902F9D" w:rsidRDefault="00803D53">
      <w:pPr>
        <w:jc w:val="both"/>
      </w:pPr>
      <w:r w:rsidRPr="00803D53">
        <w:rPr>
          <w:i/>
          <w:iCs/>
        </w:rPr>
        <w:t>Exploring these issues in greater depth</w:t>
      </w:r>
      <w:r w:rsidR="00000000">
        <w:rPr>
          <w:i/>
          <w:iCs/>
        </w:rPr>
        <w:t>, for instance with a design that randomizes who gets feedback on the ratings (only farmers, only dealers, both farmers and dealer), would be interesting for future studies, we add to the conclusion:</w:t>
      </w:r>
    </w:p>
    <w:p w14:paraId="13F9D04B" w14:textId="01FCAD68" w:rsidR="00902F9D" w:rsidRPr="00803D53" w:rsidRDefault="00000000" w:rsidP="00803D53">
      <w:pPr>
        <w:ind w:left="709"/>
        <w:jc w:val="both"/>
        <w:rPr>
          <w:i/>
          <w:iCs/>
        </w:rPr>
      </w:pPr>
      <w:r>
        <w:rPr>
          <w:i/>
          <w:iCs/>
        </w:rPr>
        <w:t>“</w:t>
      </w:r>
      <w:r w:rsidR="00803D53" w:rsidRPr="00803D53">
        <w:rPr>
          <w:i/>
          <w:iCs/>
        </w:rPr>
        <w:t>While the complexity of real-world conditions and the intricate dynamics involved</w:t>
      </w:r>
      <w:r w:rsidR="00803D53">
        <w:rPr>
          <w:i/>
          <w:iCs/>
        </w:rPr>
        <w:t xml:space="preserve"> </w:t>
      </w:r>
      <w:r w:rsidR="00803D53" w:rsidRPr="00803D53">
        <w:rPr>
          <w:i/>
          <w:iCs/>
        </w:rPr>
        <w:t>necessitate comprehensive, multifaceted approaches, it is challenging to isolate the specific</w:t>
      </w:r>
      <w:r w:rsidR="00803D53">
        <w:rPr>
          <w:i/>
          <w:iCs/>
        </w:rPr>
        <w:t xml:space="preserve"> </w:t>
      </w:r>
      <w:r w:rsidR="00803D53" w:rsidRPr="00803D53">
        <w:rPr>
          <w:i/>
          <w:iCs/>
        </w:rPr>
        <w:t>components of the intervention that drive the observed outcomes. The clearinghouse</w:t>
      </w:r>
      <w:r w:rsidR="00803D53">
        <w:rPr>
          <w:i/>
          <w:iCs/>
        </w:rPr>
        <w:t xml:space="preserve"> </w:t>
      </w:r>
      <w:r w:rsidR="00803D53" w:rsidRPr="00803D53">
        <w:rPr>
          <w:i/>
          <w:iCs/>
        </w:rPr>
        <w:t>treatment targets the interaction between buyers and sellers and makes information</w:t>
      </w:r>
      <w:r w:rsidR="00803D53">
        <w:rPr>
          <w:i/>
          <w:iCs/>
        </w:rPr>
        <w:t xml:space="preserve"> </w:t>
      </w:r>
      <w:r w:rsidR="00803D53" w:rsidRPr="00803D53">
        <w:rPr>
          <w:i/>
          <w:iCs/>
        </w:rPr>
        <w:t>available to all partners. Future research could differentiate between the actors</w:t>
      </w:r>
      <w:r w:rsidR="00803D53">
        <w:rPr>
          <w:i/>
          <w:iCs/>
        </w:rPr>
        <w:t xml:space="preserve"> </w:t>
      </w:r>
      <w:r w:rsidR="00803D53" w:rsidRPr="00803D53">
        <w:rPr>
          <w:i/>
          <w:iCs/>
        </w:rPr>
        <w:t>receiving the rating information to determine whether the impact is primarily driven</w:t>
      </w:r>
      <w:r w:rsidR="00803D53">
        <w:rPr>
          <w:i/>
          <w:iCs/>
        </w:rPr>
        <w:t xml:space="preserve"> </w:t>
      </w:r>
      <w:r w:rsidR="00803D53" w:rsidRPr="00803D53">
        <w:rPr>
          <w:i/>
          <w:iCs/>
        </w:rPr>
        <w:t>by the information provided to smallholder farmers or to agro-dealers.</w:t>
      </w:r>
      <w:r w:rsidR="00803D53">
        <w:rPr>
          <w:i/>
          <w:iCs/>
        </w:rPr>
        <w:t>”</w:t>
      </w:r>
    </w:p>
    <w:p w14:paraId="71B89566" w14:textId="072DC2BE" w:rsidR="00902F9D" w:rsidRDefault="00000000">
      <w:pPr>
        <w:pStyle w:val="Heading3"/>
        <w:jc w:val="both"/>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2</w:t>
      </w:r>
      <w:r w:rsidR="00803D5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other comments</w:t>
      </w:r>
    </w:p>
    <w:p w14:paraId="5148672F" w14:textId="77777777" w:rsidR="00902F9D" w:rsidRDefault="00000000">
      <w:pPr>
        <w:pStyle w:val="ListParagraph"/>
        <w:numPr>
          <w:ilvl w:val="0"/>
          <w:numId w:val="2"/>
        </w:numPr>
        <w:spacing w:after="120"/>
        <w:contextualSpacing w:val="0"/>
        <w:jc w:val="both"/>
        <w:rPr>
          <w:rFonts w:ascii="Times New Roman" w:hAnsi="Times New Roman" w:cs="Times New Roman"/>
          <w:sz w:val="24"/>
          <w:szCs w:val="24"/>
        </w:rPr>
      </w:pPr>
      <w:r>
        <w:rPr>
          <w:rFonts w:ascii="Times New Roman" w:hAnsi="Times New Roman" w:cs="Times New Roman"/>
          <w:sz w:val="24"/>
          <w:szCs w:val="24"/>
        </w:rPr>
        <w:t>Attrition was 14% at the endline of the agro-dealers. Did they attrit because they exited the market? Were these the worst-rated farmers that exited?</w:t>
      </w:r>
    </w:p>
    <w:p w14:paraId="61AB5CF3" w14:textId="52EBCB32" w:rsidR="00902F9D" w:rsidRDefault="0000000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i/>
          <w:iCs/>
          <w:sz w:val="24"/>
          <w:szCs w:val="24"/>
        </w:rPr>
        <w:t>To address this comment, we added footnote 1</w:t>
      </w:r>
      <w:r w:rsidR="00803D53">
        <w:rPr>
          <w:rFonts w:ascii="Times New Roman" w:hAnsi="Times New Roman" w:cs="Times New Roman"/>
          <w:i/>
          <w:iCs/>
          <w:sz w:val="24"/>
          <w:szCs w:val="24"/>
        </w:rPr>
        <w:t>6</w:t>
      </w:r>
      <w:r>
        <w:rPr>
          <w:rFonts w:ascii="Times New Roman" w:hAnsi="Times New Roman" w:cs="Times New Roman"/>
          <w:i/>
          <w:iCs/>
          <w:sz w:val="24"/>
          <w:szCs w:val="24"/>
        </w:rPr>
        <w:t>:</w:t>
      </w:r>
    </w:p>
    <w:p w14:paraId="0619BF2E" w14:textId="31725948" w:rsidR="00902F9D" w:rsidRDefault="00000000" w:rsidP="00803D53">
      <w:pPr>
        <w:ind w:left="1418"/>
        <w:rPr>
          <w:i/>
          <w:iCs/>
        </w:rPr>
      </w:pPr>
      <w:r>
        <w:rPr>
          <w:i/>
          <w:iCs/>
        </w:rPr>
        <w:t>“</w:t>
      </w:r>
      <w:r w:rsidR="00803D53" w:rsidRPr="00803D53">
        <w:rPr>
          <w:i/>
          <w:iCs/>
        </w:rPr>
        <w:t>If an agro-dealer could not be found at endline, we investigated why: eleven shops closed, ten relocated, eight were located but sell different products now, three merged with other shops, one agro-dealer did not want to be interviewed, 17 agro-dealers reported another (four) or no reason (13).</w:t>
      </w:r>
      <w:r>
        <w:rPr>
          <w:i/>
          <w:iCs/>
        </w:rPr>
        <w:t>”</w:t>
      </w:r>
    </w:p>
    <w:p w14:paraId="24C80694" w14:textId="77777777" w:rsidR="00902F9D" w:rsidRDefault="00000000">
      <w:pPr>
        <w:pStyle w:val="ListParagraph"/>
        <w:numPr>
          <w:ilvl w:val="0"/>
          <w:numId w:val="2"/>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Please test whether the </w:t>
      </w:r>
      <w:proofErr w:type="spellStart"/>
      <w:r>
        <w:rPr>
          <w:rFonts w:ascii="Times New Roman" w:hAnsi="Times New Roman" w:cs="Times New Roman"/>
          <w:sz w:val="24"/>
          <w:szCs w:val="24"/>
        </w:rPr>
        <w:t>attrited</w:t>
      </w:r>
      <w:proofErr w:type="spellEnd"/>
      <w:r>
        <w:rPr>
          <w:rFonts w:ascii="Times New Roman" w:hAnsi="Times New Roman" w:cs="Times New Roman"/>
          <w:sz w:val="24"/>
          <w:szCs w:val="24"/>
        </w:rPr>
        <w:t xml:space="preserve"> sample is different from the non-</w:t>
      </w:r>
      <w:proofErr w:type="spellStart"/>
      <w:r>
        <w:rPr>
          <w:rFonts w:ascii="Times New Roman" w:hAnsi="Times New Roman" w:cs="Times New Roman"/>
          <w:sz w:val="24"/>
          <w:szCs w:val="24"/>
        </w:rPr>
        <w:t>attrited</w:t>
      </w:r>
      <w:proofErr w:type="spellEnd"/>
      <w:r>
        <w:rPr>
          <w:rFonts w:ascii="Times New Roman" w:hAnsi="Times New Roman" w:cs="Times New Roman"/>
          <w:sz w:val="24"/>
          <w:szCs w:val="24"/>
        </w:rPr>
        <w:t xml:space="preserve"> sample in baseline characteristics.</w:t>
      </w:r>
    </w:p>
    <w:p w14:paraId="28B11E74" w14:textId="405D4FCD" w:rsidR="00902F9D" w:rsidRDefault="0000000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i/>
          <w:iCs/>
          <w:sz w:val="24"/>
          <w:szCs w:val="24"/>
        </w:rPr>
        <w:t>For 1. and 2.</w:t>
      </w:r>
      <w:r w:rsidR="00803D53">
        <w:rPr>
          <w:rFonts w:ascii="Times New Roman" w:hAnsi="Times New Roman" w:cs="Times New Roman"/>
          <w:i/>
          <w:iCs/>
          <w:sz w:val="24"/>
          <w:szCs w:val="24"/>
        </w:rPr>
        <w:t xml:space="preserve">, </w:t>
      </w:r>
      <w:r>
        <w:rPr>
          <w:rFonts w:ascii="Times New Roman" w:hAnsi="Times New Roman" w:cs="Times New Roman"/>
          <w:i/>
          <w:iCs/>
          <w:sz w:val="24"/>
          <w:szCs w:val="24"/>
        </w:rPr>
        <w:t xml:space="preserve">please see Appendix </w:t>
      </w:r>
      <w:r w:rsidR="00803D53" w:rsidRPr="00803D53">
        <w:rPr>
          <w:rFonts w:ascii="Times New Roman" w:hAnsi="Times New Roman" w:cs="Times New Roman"/>
          <w:i/>
          <w:iCs/>
          <w:sz w:val="24"/>
          <w:szCs w:val="24"/>
        </w:rPr>
        <w:t xml:space="preserve">A.2 </w:t>
      </w:r>
      <w:r>
        <w:rPr>
          <w:rFonts w:ascii="Times New Roman" w:hAnsi="Times New Roman" w:cs="Times New Roman"/>
          <w:i/>
          <w:iCs/>
          <w:sz w:val="24"/>
          <w:szCs w:val="24"/>
        </w:rPr>
        <w:t>and Reviewer 1, major comment 3: Differential attrition. We find that:</w:t>
      </w:r>
    </w:p>
    <w:p w14:paraId="2DEA14F2"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at midline do not differ much from agro-dealers who did not leave the sample at midline</w:t>
      </w:r>
    </w:p>
    <w:p w14:paraId="0832425D"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at endline differ from agro-dealers who did not leave the sample at endline, independent of their clearinghouse treatment status</w:t>
      </w:r>
    </w:p>
    <w:p w14:paraId="0B2890FA"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lastRenderedPageBreak/>
        <w:t>Agro-dealers who belong to the clearinghouse control group and agro-dealers who belong to the clearinghouse treatment group do not differ much</w:t>
      </w:r>
    </w:p>
    <w:p w14:paraId="2E4E7A39"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and belong to the clearinghouse control group (interaction between these two indicators) and the rest do not differ much</w:t>
      </w:r>
    </w:p>
    <w:p w14:paraId="13B3A76A" w14:textId="77777777" w:rsidR="00902F9D" w:rsidRDefault="00000000">
      <w:pPr>
        <w:pStyle w:val="ListParagraph"/>
        <w:numPr>
          <w:ilvl w:val="0"/>
          <w:numId w:val="2"/>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Compliance with treatment was 84%. They could try to estimate TOT to study the impact on those who </w:t>
      </w:r>
      <w:proofErr w:type="gramStart"/>
      <w:r>
        <w:rPr>
          <w:rFonts w:ascii="Times New Roman" w:hAnsi="Times New Roman" w:cs="Times New Roman"/>
          <w:sz w:val="24"/>
          <w:szCs w:val="24"/>
        </w:rPr>
        <w:t>actually were</w:t>
      </w:r>
      <w:proofErr w:type="gramEnd"/>
      <w:r>
        <w:rPr>
          <w:rFonts w:ascii="Times New Roman" w:hAnsi="Times New Roman" w:cs="Times New Roman"/>
          <w:sz w:val="24"/>
          <w:szCs w:val="24"/>
        </w:rPr>
        <w:t xml:space="preserve"> treated.</w:t>
      </w:r>
    </w:p>
    <w:p w14:paraId="6E2A44A7" w14:textId="77777777" w:rsidR="00902F9D" w:rsidRDefault="00000000">
      <w:pPr>
        <w:ind w:left="709"/>
        <w:jc w:val="both"/>
        <w:rPr>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14:paraId="6698AEE1" w14:textId="77777777" w:rsidR="00902F9D" w:rsidRDefault="00000000">
      <w:pPr>
        <w:ind w:firstLine="709"/>
        <w:jc w:val="both"/>
        <w:rPr>
          <w:i/>
          <w:iCs/>
        </w:rPr>
      </w:pPr>
      <w:r>
        <w:rPr>
          <w:noProof/>
        </w:rPr>
        <w:drawing>
          <wp:inline distT="0" distB="0" distL="0" distR="0" wp14:anchorId="5776F274" wp14:editId="09403E1C">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8"/>
                    <a:stretch>
                      <a:fillRect/>
                    </a:stretch>
                  </pic:blipFill>
                  <pic:spPr bwMode="auto">
                    <a:xfrm>
                      <a:off x="0" y="0"/>
                      <a:ext cx="5000625" cy="2677795"/>
                    </a:xfrm>
                    <a:prstGeom prst="rect">
                      <a:avLst/>
                    </a:prstGeom>
                  </pic:spPr>
                </pic:pic>
              </a:graphicData>
            </a:graphic>
          </wp:inline>
        </w:drawing>
      </w:r>
    </w:p>
    <w:p w14:paraId="0A79E374" w14:textId="77777777" w:rsidR="00902F9D" w:rsidRDefault="00000000">
      <w:pPr>
        <w:pStyle w:val="ListParagraph"/>
        <w:numPr>
          <w:ilvl w:val="0"/>
          <w:numId w:val="2"/>
        </w:numPr>
        <w:spacing w:after="120"/>
        <w:contextualSpacing w:val="0"/>
        <w:jc w:val="both"/>
        <w:rPr>
          <w:rFonts w:ascii="Times New Roman" w:hAnsi="Times New Roman" w:cs="Times New Roman"/>
          <w:sz w:val="24"/>
          <w:szCs w:val="24"/>
        </w:rPr>
      </w:pPr>
      <w:r w:rsidRPr="00480242">
        <w:rPr>
          <w:rFonts w:ascii="Times New Roman" w:hAnsi="Times New Roman" w:cs="Times New Roman"/>
          <w:sz w:val="24"/>
          <w:szCs w:val="24"/>
        </w:rPr>
        <w:t>Joint f-test on the balance tables (both agro-dealers and farmers).</w:t>
      </w:r>
    </w:p>
    <w:p w14:paraId="01179A55" w14:textId="46CB3DE2" w:rsidR="00902F9D" w:rsidRDefault="00480242">
      <w:pPr>
        <w:ind w:left="709"/>
        <w:jc w:val="both"/>
        <w:rPr>
          <w:i/>
          <w:iCs/>
        </w:rPr>
      </w:pPr>
      <w:r>
        <w:rPr>
          <w:i/>
          <w:iCs/>
        </w:rPr>
        <w:t>W</w:t>
      </w:r>
      <w:r w:rsidRPr="00480242">
        <w:rPr>
          <w:i/>
          <w:iCs/>
        </w:rPr>
        <w:t>e run linear regressions with the treatment status (training or information clearinghouse) on the left-hand side and the set of variables in Tables 3 and 4 respectively on the right-hand side to test for joint orthogonality with an F-test</w:t>
      </w:r>
      <w:r>
        <w:rPr>
          <w:i/>
          <w:iCs/>
        </w:rPr>
        <w:t xml:space="preserve">. </w:t>
      </w:r>
      <w:r w:rsidRPr="00480242">
        <w:rPr>
          <w:i/>
          <w:iCs/>
        </w:rPr>
        <w:t>We find no indications of problematic imbalance.</w:t>
      </w:r>
      <w:r>
        <w:rPr>
          <w:i/>
          <w:iCs/>
        </w:rPr>
        <w:t xml:space="preserve"> </w:t>
      </w:r>
      <w:r w:rsidR="00000000">
        <w:rPr>
          <w:i/>
          <w:iCs/>
        </w:rPr>
        <w:t>We added the following to the text:</w:t>
      </w:r>
    </w:p>
    <w:p w14:paraId="6B45CB4A" w14:textId="2CF17967" w:rsidR="00902F9D" w:rsidRDefault="00000000" w:rsidP="00480242">
      <w:pPr>
        <w:ind w:left="1418"/>
        <w:jc w:val="both"/>
        <w:rPr>
          <w:i/>
          <w:iCs/>
        </w:rPr>
      </w:pPr>
      <w:r>
        <w:rPr>
          <w:i/>
          <w:iCs/>
        </w:rPr>
        <w:t>“</w:t>
      </w:r>
      <w:r w:rsidR="00480242" w:rsidRPr="00480242">
        <w:rPr>
          <w:i/>
          <w:iCs/>
        </w:rPr>
        <w:t>We also test for joint orthogonality using F-tests, which</w:t>
      </w:r>
      <w:r w:rsidR="00480242">
        <w:rPr>
          <w:i/>
          <w:iCs/>
        </w:rPr>
        <w:t xml:space="preserve"> </w:t>
      </w:r>
      <w:r w:rsidR="00480242" w:rsidRPr="00480242">
        <w:rPr>
          <w:i/>
          <w:iCs/>
        </w:rPr>
        <w:t>confirm balance between treatment groups.</w:t>
      </w:r>
      <w:r>
        <w:rPr>
          <w:i/>
          <w:iCs/>
        </w:rPr>
        <w:t>”</w:t>
      </w:r>
    </w:p>
    <w:sectPr w:rsidR="00902F9D">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D4017" w14:textId="77777777" w:rsidR="0072367F" w:rsidRDefault="0072367F">
      <w:pPr>
        <w:spacing w:before="0" w:after="0"/>
      </w:pPr>
      <w:r>
        <w:separator/>
      </w:r>
    </w:p>
  </w:endnote>
  <w:endnote w:type="continuationSeparator" w:id="0">
    <w:p w14:paraId="2E5C1A4E" w14:textId="77777777" w:rsidR="0072367F" w:rsidRDefault="0072367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swiss"/>
    <w:pitch w:val="variable"/>
  </w:font>
  <w:font w:name="Noto Serif CJK SC">
    <w:panose1 w:val="020B0604020202020204"/>
    <w:charset w:val="00"/>
    <w:family w:val="roman"/>
    <w:pitch w:val="default"/>
  </w:font>
  <w:font w:name="Lohit Devanagari">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iberation Mono">
    <w:altName w:val="Courier New"/>
    <w:panose1 w:val="020B0604020202020204"/>
    <w:charset w:val="01"/>
    <w:family w:val="roman"/>
    <w:pitch w:val="variable"/>
  </w:font>
  <w:font w:name="Noto Sans Mono CJK SC">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28636" w14:textId="77777777" w:rsidR="0072367F" w:rsidRDefault="0072367F">
      <w:pPr>
        <w:rPr>
          <w:sz w:val="12"/>
        </w:rPr>
      </w:pPr>
      <w:r>
        <w:separator/>
      </w:r>
    </w:p>
  </w:footnote>
  <w:footnote w:type="continuationSeparator" w:id="0">
    <w:p w14:paraId="11F0B37B" w14:textId="77777777" w:rsidR="0072367F" w:rsidRDefault="0072367F">
      <w:pPr>
        <w:rPr>
          <w:sz w:val="12"/>
        </w:rPr>
      </w:pPr>
      <w:r>
        <w:continuationSeparator/>
      </w:r>
    </w:p>
  </w:footnote>
  <w:footnote w:id="1">
    <w:p w14:paraId="1FBDE1A2" w14:textId="77777777" w:rsidR="00902F9D" w:rsidRDefault="00000000">
      <w:pPr>
        <w:pStyle w:val="FootnoteText"/>
      </w:pPr>
      <w:r>
        <w:rPr>
          <w:rStyle w:val="FootnoteCharacters3"/>
        </w:rPr>
        <w:footnoteRef/>
      </w:r>
      <w:r>
        <w:t xml:space="preserve"> </w:t>
      </w:r>
      <w:r w:rsidRPr="00FF08CA">
        <w:t>Sheahan, M., &amp; Barrett, C. B. (2017). Ten striking facts about agricultural input use in Sub-Saharan Africa. </w:t>
      </w:r>
      <w:hyperlink r:id="rId1" w:tgtFrame="_blank">
        <w:r w:rsidR="00902F9D" w:rsidRPr="00FF08CA">
          <w:rPr>
            <w:rStyle w:val="Hyperlink"/>
          </w:rPr>
          <w:t>Food Policy, 67, 12-25</w:t>
        </w:r>
      </w:hyperlink>
      <w:r w:rsidRPr="00FF08CA">
        <w:t>.</w:t>
      </w:r>
    </w:p>
  </w:footnote>
  <w:footnote w:id="2">
    <w:p w14:paraId="5285B48E" w14:textId="77777777" w:rsidR="00902F9D" w:rsidRDefault="00000000">
      <w:pPr>
        <w:pStyle w:val="FootnoteText"/>
      </w:pPr>
      <w:r>
        <w:rPr>
          <w:rStyle w:val="FootnoteCharacters3"/>
        </w:rPr>
        <w:footnoteRef/>
      </w:r>
      <w:r>
        <w:t xml:space="preserve"> </w:t>
      </w:r>
      <w:r w:rsidRPr="00FF08CA">
        <w:t xml:space="preserve">Hanna, R., Mullainathan, S., &amp; </w:t>
      </w:r>
      <w:proofErr w:type="spellStart"/>
      <w:r w:rsidRPr="00FF08CA">
        <w:t>Schwartzstein</w:t>
      </w:r>
      <w:proofErr w:type="spellEnd"/>
      <w:r w:rsidRPr="00FF08CA">
        <w:t xml:space="preserve">, J. (2014). Learning through noticing: Theory and evidence from a field experiment. </w:t>
      </w:r>
      <w:hyperlink r:id="rId2">
        <w:r w:rsidR="00902F9D" w:rsidRPr="00FF08CA">
          <w:rPr>
            <w:rStyle w:val="Hyperlink"/>
          </w:rPr>
          <w:t>The Quarterly Journal of Economics 129, 3, 1311-1353</w:t>
        </w:r>
      </w:hyperlink>
      <w:r w:rsidRPr="00FF08CA">
        <w:t>.</w:t>
      </w:r>
    </w:p>
  </w:footnote>
  <w:footnote w:id="3">
    <w:p w14:paraId="54A933DF" w14:textId="32B4A4F5" w:rsidR="00902F9D" w:rsidRDefault="00000000">
      <w:pPr>
        <w:pStyle w:val="FootnoteText"/>
      </w:pPr>
      <w:r>
        <w:rPr>
          <w:rStyle w:val="FootnoteCharacters3"/>
        </w:rPr>
        <w:footnoteRef/>
      </w:r>
      <w:r w:rsidRPr="00385ABF">
        <w:t xml:space="preserve"> Humphreys, M., R. S. De la Sierra, and P. Van der </w:t>
      </w:r>
      <w:proofErr w:type="spellStart"/>
      <w:r w:rsidRPr="00385ABF">
        <w:t>Windt</w:t>
      </w:r>
      <w:proofErr w:type="spellEnd"/>
      <w:r w:rsidRPr="00385ABF">
        <w:t xml:space="preserve">. </w:t>
      </w:r>
      <w:r w:rsidRPr="00FF08CA">
        <w:t xml:space="preserve">2013. “Fishing, commitment, and communication: A proposal for comprehensive nonbinding research registration.” </w:t>
      </w:r>
      <w:hyperlink r:id="rId3" w:history="1">
        <w:r w:rsidR="00902F9D" w:rsidRPr="00FF08CA">
          <w:rPr>
            <w:rStyle w:val="Hyperlink"/>
          </w:rPr>
          <w:t>Political Analysis 1–20</w:t>
        </w:r>
      </w:hyperlink>
      <w:r w:rsidRPr="00FF08CA">
        <w:t>.</w:t>
      </w:r>
    </w:p>
  </w:footnote>
  <w:footnote w:id="4">
    <w:p w14:paraId="7A37D8BC" w14:textId="0B4B50AA" w:rsidR="00902F9D" w:rsidRDefault="00000000">
      <w:pPr>
        <w:pStyle w:val="FootnoteText"/>
      </w:pPr>
      <w:r>
        <w:rPr>
          <w:rStyle w:val="FootnoteCharacters3"/>
        </w:rPr>
        <w:footnoteRef/>
      </w:r>
      <w:r>
        <w:t xml:space="preserve"> </w:t>
      </w:r>
      <w:r w:rsidRPr="00FF08CA">
        <w:t xml:space="preserve">Anderson, M. L. 2008. “Multiple inference and gender differences in the effects of early intervention: A reevaluation of the Abecedarian, Perry Preschool, and Early Training Projects.” </w:t>
      </w:r>
      <w:hyperlink r:id="rId4" w:history="1">
        <w:r w:rsidR="00902F9D" w:rsidRPr="00FF08CA">
          <w:rPr>
            <w:rStyle w:val="Hyperlink"/>
          </w:rPr>
          <w:t>Journal of the American Statistical Association 103 (484): 1481–1495</w:t>
        </w:r>
      </w:hyperlink>
      <w:r w:rsidRPr="00FF08CA">
        <w:t>.</w:t>
      </w:r>
    </w:p>
  </w:footnote>
  <w:footnote w:id="5">
    <w:p w14:paraId="4F4F4B77" w14:textId="01EFC4E1" w:rsidR="00EF1555" w:rsidRPr="00EF1555" w:rsidRDefault="00EF1555">
      <w:pPr>
        <w:pStyle w:val="FootnoteText"/>
      </w:pPr>
      <w:r>
        <w:rPr>
          <w:rStyle w:val="FootnoteReference"/>
        </w:rPr>
        <w:footnoteRef/>
      </w:r>
      <w:r>
        <w:t xml:space="preserve"> </w:t>
      </w:r>
      <w:r w:rsidRPr="00653920">
        <w:rPr>
          <w:rFonts w:eastAsia="Noto Serif CJK SC"/>
        </w:rPr>
        <w:t xml:space="preserve">Afzal, I., M. A. </w:t>
      </w:r>
      <w:proofErr w:type="spellStart"/>
      <w:r w:rsidRPr="00653920">
        <w:rPr>
          <w:rFonts w:eastAsia="Noto Serif CJK SC"/>
        </w:rPr>
        <w:t>Bakhtavar</w:t>
      </w:r>
      <w:proofErr w:type="spellEnd"/>
      <w:r w:rsidRPr="00653920">
        <w:rPr>
          <w:rFonts w:eastAsia="Noto Serif CJK SC"/>
        </w:rPr>
        <w:t xml:space="preserve">, M. Ishfaq, M. </w:t>
      </w:r>
      <w:proofErr w:type="spellStart"/>
      <w:r w:rsidRPr="00653920">
        <w:rPr>
          <w:rFonts w:eastAsia="Noto Serif CJK SC"/>
        </w:rPr>
        <w:t>Sagheer</w:t>
      </w:r>
      <w:proofErr w:type="spellEnd"/>
      <w:r w:rsidRPr="00653920">
        <w:rPr>
          <w:rFonts w:eastAsia="Noto Serif CJK SC"/>
        </w:rPr>
        <w:t xml:space="preserve">, and D. </w:t>
      </w:r>
      <w:proofErr w:type="spellStart"/>
      <w:r w:rsidRPr="00653920">
        <w:rPr>
          <w:rFonts w:eastAsia="Noto Serif CJK SC"/>
        </w:rPr>
        <w:t>Baributsa</w:t>
      </w:r>
      <w:proofErr w:type="spellEnd"/>
      <w:r w:rsidRPr="00653920">
        <w:rPr>
          <w:rFonts w:eastAsia="Noto Serif CJK SC"/>
        </w:rPr>
        <w:t>. 2017. “Maintaining</w:t>
      </w:r>
      <w:r w:rsidRPr="008A119F">
        <w:rPr>
          <w:rFonts w:eastAsia="Noto Serif CJK SC"/>
        </w:rPr>
        <w:t xml:space="preserve"> </w:t>
      </w:r>
      <w:r w:rsidRPr="00653920">
        <w:rPr>
          <w:rFonts w:eastAsia="Noto Serif CJK SC"/>
        </w:rPr>
        <w:t xml:space="preserve">dryness during storage contributes to higher maize seed quality.” </w:t>
      </w:r>
      <w:hyperlink r:id="rId5" w:history="1">
        <w:r w:rsidRPr="00653920">
          <w:rPr>
            <w:rStyle w:val="Hyperlink"/>
            <w:rFonts w:eastAsia="Noto Serif CJK SC"/>
          </w:rPr>
          <w:t>Journal of Stored</w:t>
        </w:r>
        <w:r w:rsidRPr="008A119F">
          <w:rPr>
            <w:rStyle w:val="Hyperlink"/>
            <w:rFonts w:eastAsia="Noto Serif CJK SC"/>
          </w:rPr>
          <w:t xml:space="preserve"> Products Research 72: 49–53</w:t>
        </w:r>
      </w:hyperlink>
      <w:r w:rsidRPr="008A119F">
        <w:rPr>
          <w:rFonts w:eastAsia="Noto Serif CJK SC"/>
        </w:rPr>
        <w:t>.</w:t>
      </w:r>
    </w:p>
  </w:footnote>
  <w:footnote w:id="6">
    <w:p w14:paraId="4B82A59F" w14:textId="06593079" w:rsidR="00902F9D" w:rsidRDefault="00000000">
      <w:pPr>
        <w:pStyle w:val="FootnoteText"/>
        <w:rPr>
          <w:i/>
          <w:iCs/>
        </w:rPr>
      </w:pPr>
      <w:r>
        <w:rPr>
          <w:rStyle w:val="FootnoteCharacters3"/>
        </w:rPr>
        <w:footnoteRef/>
      </w:r>
      <w:r>
        <w:t xml:space="preserve"> </w:t>
      </w:r>
      <w:r w:rsidRPr="008A119F">
        <w:rPr>
          <w:i/>
          <w:iCs/>
        </w:rPr>
        <w:t>Maize seed quality encompasses several dimensions</w:t>
      </w:r>
      <w:bookmarkStart w:id="0" w:name="_Hlk64448278_Copy_1_Copy_1_Copy_1_Copy_1"/>
      <w:r w:rsidRPr="008A119F">
        <w:rPr>
          <w:i/>
          <w:iCs/>
        </w:rPr>
        <w:t xml:space="preserve">, </w:t>
      </w:r>
      <w:r w:rsidR="005873D9">
        <w:rPr>
          <w:i/>
          <w:iCs/>
        </w:rPr>
        <w:t>for example</w:t>
      </w:r>
      <w:r w:rsidRPr="008A119F">
        <w:rPr>
          <w:i/>
          <w:iCs/>
        </w:rPr>
        <w:t>, analytical purity, germination</w:t>
      </w:r>
      <w:bookmarkEnd w:id="0"/>
      <w:r w:rsidRPr="008A119F">
        <w:rPr>
          <w:i/>
          <w:iCs/>
        </w:rPr>
        <w:t xml:space="preserve">, and varietal purity. Varietal purity, indicating whether the seed is the variety that it is supposed to be, is </w:t>
      </w:r>
      <w:r w:rsidR="005873D9">
        <w:rPr>
          <w:i/>
          <w:iCs/>
        </w:rPr>
        <w:t>a popular</w:t>
      </w:r>
      <w:r w:rsidRPr="008A119F">
        <w:rPr>
          <w:i/>
          <w:iCs/>
        </w:rPr>
        <w:t xml:space="preserve"> quality dimension in this context. Beegle, </w:t>
      </w:r>
      <w:proofErr w:type="spellStart"/>
      <w:r w:rsidRPr="008A119F">
        <w:rPr>
          <w:i/>
          <w:iCs/>
        </w:rPr>
        <w:t>Karachiwalla</w:t>
      </w:r>
      <w:proofErr w:type="spellEnd"/>
      <w:r w:rsidRPr="008A119F">
        <w:rPr>
          <w:i/>
          <w:iCs/>
        </w:rPr>
        <w:t xml:space="preserve">, </w:t>
      </w:r>
      <w:proofErr w:type="spellStart"/>
      <w:r w:rsidRPr="008A119F">
        <w:rPr>
          <w:i/>
          <w:iCs/>
        </w:rPr>
        <w:t>Lybbert</w:t>
      </w:r>
      <w:proofErr w:type="spellEnd"/>
      <w:r w:rsidRPr="008A119F">
        <w:rPr>
          <w:i/>
          <w:iCs/>
        </w:rPr>
        <w:t xml:space="preserve">, Michelson, Sanabria, Stevenson, and </w:t>
      </w:r>
      <w:proofErr w:type="spellStart"/>
      <w:r w:rsidRPr="008A119F">
        <w:rPr>
          <w:i/>
          <w:iCs/>
        </w:rPr>
        <w:t>Tjernstrom</w:t>
      </w:r>
      <w:proofErr w:type="spellEnd"/>
      <w:r w:rsidRPr="008A119F">
        <w:rPr>
          <w:i/>
          <w:iCs/>
        </w:rPr>
        <w:t xml:space="preserve"> describe in their </w:t>
      </w:r>
      <w:hyperlink r:id="rId6">
        <w:r w:rsidR="00902F9D" w:rsidRPr="008A119F">
          <w:rPr>
            <w:rStyle w:val="Hyperlink"/>
            <w:i/>
            <w:iCs/>
          </w:rPr>
          <w:t>“Devil in the details: measuring seeds” blog</w:t>
        </w:r>
      </w:hyperlink>
      <w:r w:rsidRPr="008A119F">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7">
    <w:p w14:paraId="1390703F" w14:textId="53E3282E" w:rsidR="00645CF5" w:rsidRPr="00645CF5" w:rsidRDefault="00645CF5">
      <w:pPr>
        <w:pStyle w:val="FootnoteText"/>
      </w:pPr>
      <w:r>
        <w:rPr>
          <w:rStyle w:val="FootnoteReference"/>
        </w:rPr>
        <w:footnoteRef/>
      </w:r>
      <w:r w:rsidRPr="00645CF5">
        <w:t xml:space="preserve"> </w:t>
      </w:r>
      <w:r w:rsidRPr="00645CF5">
        <w:t>Barrett, C</w:t>
      </w:r>
      <w:r w:rsidRPr="00645CF5">
        <w:t>.</w:t>
      </w:r>
      <w:r w:rsidRPr="00645CF5">
        <w:t xml:space="preserve"> B., T</w:t>
      </w:r>
      <w:r w:rsidRPr="00645CF5">
        <w:t>.</w:t>
      </w:r>
      <w:r w:rsidRPr="00645CF5">
        <w:t xml:space="preserve"> Benton, J</w:t>
      </w:r>
      <w:r w:rsidRPr="00645CF5">
        <w:t>.</w:t>
      </w:r>
      <w:r w:rsidRPr="00645CF5">
        <w:t xml:space="preserve"> </w:t>
      </w:r>
      <w:proofErr w:type="spellStart"/>
      <w:r w:rsidRPr="00645CF5">
        <w:t>Fanzo</w:t>
      </w:r>
      <w:proofErr w:type="spellEnd"/>
      <w:r w:rsidRPr="00645CF5">
        <w:t>, M</w:t>
      </w:r>
      <w:r w:rsidRPr="00645CF5">
        <w:t>.</w:t>
      </w:r>
      <w:r w:rsidRPr="00645CF5">
        <w:t xml:space="preserve"> Herrero, R</w:t>
      </w:r>
      <w:r w:rsidRPr="00645CF5">
        <w:t>.</w:t>
      </w:r>
      <w:r w:rsidRPr="00645CF5">
        <w:t xml:space="preserve"> J. Nelson, E</w:t>
      </w:r>
      <w:r w:rsidRPr="00645CF5">
        <w:t>.</w:t>
      </w:r>
      <w:r w:rsidRPr="00645CF5">
        <w:t xml:space="preserve"> </w:t>
      </w:r>
      <w:proofErr w:type="spellStart"/>
      <w:r w:rsidRPr="00645CF5">
        <w:t>Bageant</w:t>
      </w:r>
      <w:proofErr w:type="spellEnd"/>
      <w:r w:rsidRPr="00645CF5">
        <w:t>, E</w:t>
      </w:r>
      <w:r w:rsidRPr="00645CF5">
        <w:t>.</w:t>
      </w:r>
      <w:r w:rsidRPr="00645CF5">
        <w:t xml:space="preserve"> Buckler</w:t>
      </w:r>
      <w:r w:rsidRPr="00645CF5">
        <w:t xml:space="preserve">, </w:t>
      </w:r>
      <w:r w:rsidRPr="00645CF5">
        <w:t xml:space="preserve">E., Cooper, K., </w:t>
      </w:r>
      <w:proofErr w:type="spellStart"/>
      <w:r w:rsidRPr="00645CF5">
        <w:t>Culotta</w:t>
      </w:r>
      <w:proofErr w:type="spellEnd"/>
      <w:r w:rsidRPr="00645CF5">
        <w:t>, I., Fan, S. and R.</w:t>
      </w:r>
      <w:r w:rsidRPr="00645CF5">
        <w:t xml:space="preserve"> </w:t>
      </w:r>
      <w:r w:rsidRPr="00645CF5">
        <w:t>Gandhi</w:t>
      </w:r>
      <w:r w:rsidRPr="00645CF5">
        <w:t xml:space="preserve">. </w:t>
      </w:r>
      <w:r w:rsidRPr="00645CF5">
        <w:t>2022</w:t>
      </w:r>
      <w:r w:rsidRPr="00645CF5">
        <w:t xml:space="preserve">. </w:t>
      </w:r>
      <w:hyperlink r:id="rId7" w:history="1">
        <w:r w:rsidRPr="00645CF5">
          <w:rPr>
            <w:rStyle w:val="Hyperlink"/>
          </w:rPr>
          <w:t>Socio-technical innovation bundles for agri-food systems transformation</w:t>
        </w:r>
      </w:hyperlink>
      <w:r w:rsidRPr="00645CF5">
        <w:t>. Springer Nature.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D63B2"/>
    <w:multiLevelType w:val="multilevel"/>
    <w:tmpl w:val="F9B4F82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44F540F"/>
    <w:multiLevelType w:val="multilevel"/>
    <w:tmpl w:val="132829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49004BD"/>
    <w:multiLevelType w:val="multilevel"/>
    <w:tmpl w:val="D62CDB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646E1975"/>
    <w:multiLevelType w:val="multilevel"/>
    <w:tmpl w:val="A10A68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857695564">
    <w:abstractNumId w:val="0"/>
  </w:num>
  <w:num w:numId="2" w16cid:durableId="1407613132">
    <w:abstractNumId w:val="2"/>
  </w:num>
  <w:num w:numId="3" w16cid:durableId="1476022983">
    <w:abstractNumId w:val="3"/>
  </w:num>
  <w:num w:numId="4" w16cid:durableId="1360202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F9D"/>
    <w:rsid w:val="0007472F"/>
    <w:rsid w:val="001E1AB7"/>
    <w:rsid w:val="001E2ABB"/>
    <w:rsid w:val="00217189"/>
    <w:rsid w:val="00385ABF"/>
    <w:rsid w:val="003B2213"/>
    <w:rsid w:val="00451CCD"/>
    <w:rsid w:val="00480242"/>
    <w:rsid w:val="005873D9"/>
    <w:rsid w:val="005F2FBF"/>
    <w:rsid w:val="00645CF5"/>
    <w:rsid w:val="00653920"/>
    <w:rsid w:val="0069688E"/>
    <w:rsid w:val="0072367F"/>
    <w:rsid w:val="00803D53"/>
    <w:rsid w:val="008A119F"/>
    <w:rsid w:val="008C2035"/>
    <w:rsid w:val="00902F9D"/>
    <w:rsid w:val="009335C6"/>
    <w:rsid w:val="00A1555B"/>
    <w:rsid w:val="00A6760B"/>
    <w:rsid w:val="00A7624C"/>
    <w:rsid w:val="00B87B67"/>
    <w:rsid w:val="00BA72DE"/>
    <w:rsid w:val="00BF7016"/>
    <w:rsid w:val="00D17C77"/>
    <w:rsid w:val="00D53864"/>
    <w:rsid w:val="00DC153A"/>
    <w:rsid w:val="00EB3853"/>
    <w:rsid w:val="00EF1555"/>
    <w:rsid w:val="00F046CB"/>
    <w:rsid w:val="00F658D5"/>
    <w:rsid w:val="00F72845"/>
    <w:rsid w:val="00FF08C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998B9BD"/>
  <w15:docId w15:val="{389DA42F-2530-D14E-9A42-64DBCC5C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F2"/>
    <w:pPr>
      <w:suppressAutoHyphens w:val="0"/>
      <w:spacing w:before="120" w:after="12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DefaultParagraphFont"/>
    <w:uiPriority w:val="99"/>
    <w:semiHidden/>
    <w:unhideWhenUsed/>
    <w:qFormat/>
    <w:rsid w:val="00BA4FF8"/>
    <w:rPr>
      <w:vertAlign w:val="superscript"/>
    </w:rPr>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styleId="FootnoteReference">
    <w:name w:val="footnote reference"/>
    <w:rPr>
      <w:vertAlign w:val="superscript"/>
    </w:rPr>
  </w:style>
  <w:style w:type="character" w:customStyle="1" w:styleId="Hyperlink1">
    <w:name w:val="Hyperlink1"/>
    <w:qFormat/>
    <w:rPr>
      <w:color w:val="000080"/>
      <w:u w:val="single"/>
    </w:rPr>
  </w:style>
  <w:style w:type="character" w:customStyle="1" w:styleId="FootnoteCharacters11">
    <w:name w:val="Footnote Characters11"/>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Characters">
    <w:name w:val="Endnote Characters"/>
    <w:qFormat/>
    <w:rPr>
      <w:vertAlign w:val="superscript"/>
    </w:rPr>
  </w:style>
  <w:style w:type="character" w:customStyle="1" w:styleId="EndnoteCharacters1">
    <w:name w:val="Endnote Characters1"/>
    <w:qFormat/>
    <w:rPr>
      <w:vertAlign w:val="superscript"/>
    </w:rPr>
  </w:style>
  <w:style w:type="character" w:customStyle="1" w:styleId="EndnoteCharacters2">
    <w:name w:val="Endnote Characters2"/>
    <w:qFormat/>
    <w:rPr>
      <w:vertAlign w:val="superscript"/>
    </w:rPr>
  </w:style>
  <w:style w:type="character" w:styleId="EndnoteReference">
    <w:name w:val="endnote reference"/>
    <w:rPr>
      <w:vertAlign w:val="superscript"/>
    </w:rPr>
  </w:style>
  <w:style w:type="character" w:customStyle="1" w:styleId="EndnoteCharacters11">
    <w:name w:val="Endnote Characters11"/>
    <w:qFormat/>
  </w:style>
  <w:style w:type="character" w:customStyle="1" w:styleId="Heading1Char">
    <w:name w:val="Heading 1 Char"/>
    <w:basedOn w:val="DefaultParagraphFont"/>
    <w:link w:val="Heading1"/>
    <w:uiPriority w:val="9"/>
    <w:qFormat/>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qFormat/>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qFormat/>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qFormat/>
    <w:rsid w:val="00410267"/>
    <w:rPr>
      <w:b/>
      <w:bCs/>
      <w:sz w:val="36"/>
      <w:szCs w:val="36"/>
    </w:rPr>
  </w:style>
  <w:style w:type="character" w:customStyle="1" w:styleId="footlabel">
    <w:name w:val="foot_label"/>
    <w:basedOn w:val="DefaultParagraphFont"/>
    <w:qFormat/>
    <w:rsid w:val="00344654"/>
    <w:rPr>
      <w:b/>
      <w:bCs/>
      <w:sz w:val="20"/>
      <w:szCs w:val="20"/>
      <w:u w:val="single"/>
      <w:vertAlign w:val="superscript"/>
    </w:rPr>
  </w:style>
  <w:style w:type="character" w:customStyle="1" w:styleId="subsectionlabel">
    <w:name w:val="subsection_label"/>
    <w:basedOn w:val="DefaultParagraphFont"/>
    <w:qFormat/>
    <w:rsid w:val="00344654"/>
  </w:style>
  <w:style w:type="character" w:styleId="UnresolvedMention">
    <w:name w:val="Unresolved Mention"/>
    <w:basedOn w:val="DefaultParagraphFont"/>
    <w:uiPriority w:val="99"/>
    <w:semiHidden/>
    <w:unhideWhenUsed/>
    <w:qFormat/>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qFormat/>
    <w:rsid w:val="00BF0742"/>
  </w:style>
  <w:style w:type="character" w:customStyle="1" w:styleId="EndnoteTextChar">
    <w:name w:val="Endnote Text Char"/>
    <w:basedOn w:val="DefaultParagraphFont"/>
    <w:link w:val="EndnoteText"/>
    <w:uiPriority w:val="99"/>
    <w:semiHidden/>
    <w:qFormat/>
    <w:rsid w:val="00EC737E"/>
    <w:rPr>
      <w:rFonts w:ascii="Times New Roman" w:eastAsia="Times New Roman" w:hAnsi="Times New Roman" w:cs="Times New Roman"/>
      <w:kern w:val="0"/>
      <w:sz w:val="20"/>
      <w:szCs w:val="20"/>
      <w:lang w:eastAsia="en-US" w:bidi="ar-SA"/>
    </w:rPr>
  </w:style>
  <w:style w:type="character" w:customStyle="1" w:styleId="EndnoteCharacters111">
    <w:name w:val="Endnote Characters111"/>
    <w:basedOn w:val="DefaultParagraphFont"/>
    <w:uiPriority w:val="99"/>
    <w:semiHidden/>
    <w:unhideWhenUsed/>
    <w:qFormat/>
    <w:rsid w:val="00EC737E"/>
    <w:rPr>
      <w:vertAlign w:val="superscript"/>
    </w:rPr>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paragraph" w:styleId="NormalWeb">
    <w:name w:val="Normal (Web)"/>
    <w:basedOn w:val="Normal"/>
    <w:uiPriority w:val="99"/>
    <w:unhideWhenUsed/>
    <w:qFormat/>
    <w:rsid w:val="00AE1DBD"/>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customStyle="1" w:styleId="Comment">
    <w:name w:val="Comment"/>
    <w:basedOn w:val="Normal"/>
    <w:qFormat/>
    <w:rPr>
      <w:sz w:val="20"/>
      <w:szCs w:val="20"/>
    </w:rPr>
  </w:style>
  <w:style w:type="numbering" w:customStyle="1" w:styleId="CurrentList1">
    <w:name w:val="Current List1"/>
    <w:uiPriority w:val="99"/>
    <w:qFormat/>
    <w:rsid w:val="002D0B50"/>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618325">
      <w:bodyDiv w:val="1"/>
      <w:marLeft w:val="0"/>
      <w:marRight w:val="0"/>
      <w:marTop w:val="0"/>
      <w:marBottom w:val="0"/>
      <w:divBdr>
        <w:top w:val="none" w:sz="0" w:space="0" w:color="auto"/>
        <w:left w:val="none" w:sz="0" w:space="0" w:color="auto"/>
        <w:bottom w:val="none" w:sz="0" w:space="0" w:color="auto"/>
        <w:right w:val="none" w:sz="0" w:space="0" w:color="auto"/>
      </w:divBdr>
      <w:divsChild>
        <w:div w:id="1404723167">
          <w:marLeft w:val="0"/>
          <w:marRight w:val="0"/>
          <w:marTop w:val="0"/>
          <w:marBottom w:val="240"/>
          <w:divBdr>
            <w:top w:val="none" w:sz="0" w:space="0" w:color="auto"/>
            <w:left w:val="none" w:sz="0" w:space="0" w:color="auto"/>
            <w:bottom w:val="none" w:sz="0" w:space="0" w:color="auto"/>
            <w:right w:val="none" w:sz="0" w:space="0" w:color="auto"/>
          </w:divBdr>
        </w:div>
      </w:divsChild>
    </w:div>
    <w:div w:id="1109932504">
      <w:bodyDiv w:val="1"/>
      <w:marLeft w:val="0"/>
      <w:marRight w:val="0"/>
      <w:marTop w:val="0"/>
      <w:marBottom w:val="0"/>
      <w:divBdr>
        <w:top w:val="none" w:sz="0" w:space="0" w:color="auto"/>
        <w:left w:val="none" w:sz="0" w:space="0" w:color="auto"/>
        <w:bottom w:val="none" w:sz="0" w:space="0" w:color="auto"/>
        <w:right w:val="none" w:sz="0" w:space="0" w:color="auto"/>
      </w:divBdr>
      <w:divsChild>
        <w:div w:id="987519334">
          <w:marLeft w:val="0"/>
          <w:marRight w:val="0"/>
          <w:marTop w:val="600"/>
          <w:marBottom w:val="45"/>
          <w:divBdr>
            <w:top w:val="none" w:sz="0" w:space="0" w:color="auto"/>
            <w:left w:val="none" w:sz="0" w:space="0" w:color="auto"/>
            <w:bottom w:val="none" w:sz="0" w:space="0" w:color="auto"/>
            <w:right w:val="none" w:sz="0" w:space="0" w:color="auto"/>
          </w:divBdr>
        </w:div>
      </w:divsChild>
    </w:div>
    <w:div w:id="1298102113">
      <w:bodyDiv w:val="1"/>
      <w:marLeft w:val="0"/>
      <w:marRight w:val="0"/>
      <w:marTop w:val="0"/>
      <w:marBottom w:val="0"/>
      <w:divBdr>
        <w:top w:val="none" w:sz="0" w:space="0" w:color="auto"/>
        <w:left w:val="none" w:sz="0" w:space="0" w:color="auto"/>
        <w:bottom w:val="none" w:sz="0" w:space="0" w:color="auto"/>
        <w:right w:val="none" w:sz="0" w:space="0" w:color="auto"/>
      </w:divBdr>
      <w:divsChild>
        <w:div w:id="344749116">
          <w:marLeft w:val="0"/>
          <w:marRight w:val="0"/>
          <w:marTop w:val="0"/>
          <w:marBottom w:val="240"/>
          <w:divBdr>
            <w:top w:val="none" w:sz="0" w:space="0" w:color="auto"/>
            <w:left w:val="none" w:sz="0" w:space="0" w:color="auto"/>
            <w:bottom w:val="none" w:sz="0" w:space="0" w:color="auto"/>
            <w:right w:val="none" w:sz="0" w:space="0" w:color="auto"/>
          </w:divBdr>
        </w:div>
      </w:divsChild>
    </w:div>
    <w:div w:id="1841500926">
      <w:bodyDiv w:val="1"/>
      <w:marLeft w:val="0"/>
      <w:marRight w:val="0"/>
      <w:marTop w:val="0"/>
      <w:marBottom w:val="0"/>
      <w:divBdr>
        <w:top w:val="none" w:sz="0" w:space="0" w:color="auto"/>
        <w:left w:val="none" w:sz="0" w:space="0" w:color="auto"/>
        <w:bottom w:val="none" w:sz="0" w:space="0" w:color="auto"/>
        <w:right w:val="none" w:sz="0" w:space="0" w:color="auto"/>
      </w:divBdr>
    </w:div>
    <w:div w:id="2023892709">
      <w:bodyDiv w:val="1"/>
      <w:marLeft w:val="0"/>
      <w:marRight w:val="0"/>
      <w:marTop w:val="0"/>
      <w:marBottom w:val="0"/>
      <w:divBdr>
        <w:top w:val="none" w:sz="0" w:space="0" w:color="auto"/>
        <w:left w:val="none" w:sz="0" w:space="0" w:color="auto"/>
        <w:bottom w:val="none" w:sz="0" w:space="0" w:color="auto"/>
        <w:right w:val="none" w:sz="0" w:space="0" w:color="auto"/>
      </w:divBdr>
      <w:divsChild>
        <w:div w:id="1857961321">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cambridge.org/core/journals/political-analysis/article/abs/fishing-commitment-and-communication-a-proposal-for-comprehensive-nonbinding-research-registration/BD935F7843BF07F338774DAB66E74E3C" TargetMode="External"/><Relationship Id="rId7" Type="http://schemas.openxmlformats.org/officeDocument/2006/relationships/hyperlink" Target="https://library.oapen.org/handle/20.500.12657/54421"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 Id="rId6" Type="http://schemas.openxmlformats.org/officeDocument/2006/relationships/hyperlink" Target="https://blogs.worldbank.org/en/impactevaluations/devil-details-measuring-seeds" TargetMode="External"/><Relationship Id="rId5" Type="http://schemas.openxmlformats.org/officeDocument/2006/relationships/hyperlink" Target="https://www.sciencedirect.com/science/article/abs/pii/S0022474X17301194" TargetMode="External"/><Relationship Id="rId4" Type="http://schemas.openxmlformats.org/officeDocument/2006/relationships/hyperlink" Target="https://www.tandfonline.com/doi/abs/10.1198/016214508000000841"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16</Pages>
  <Words>6324</Words>
  <Characters>36048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42288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 Miehe</cp:lastModifiedBy>
  <cp:revision>69</cp:revision>
  <dcterms:created xsi:type="dcterms:W3CDTF">2024-06-04T14:23:00Z</dcterms:created>
  <dcterms:modified xsi:type="dcterms:W3CDTF">2024-10-11T09:20:00Z</dcterms:modified>
  <dc:language>en-US</dc:language>
</cp:coreProperties>
</file>