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44A6" w:rsidRDefault="00773FCD">
      <w:r>
        <w:rPr>
          <w:b/>
          <w:bCs/>
        </w:rPr>
        <w:t>Designing gender sensitive agricultural extension information campaigns</w:t>
      </w:r>
    </w:p>
    <w:p w:rsidR="00B344A6" w:rsidRDefault="00773FCD">
      <w:r>
        <w:rPr>
          <w:i/>
          <w:iCs/>
        </w:rPr>
        <w:t xml:space="preserve">Bjorn Van Campenhout, Research Fellow, </w:t>
      </w:r>
      <w:hyperlink r:id="rId6">
        <w:r>
          <w:rPr>
            <w:rStyle w:val="InternetLink"/>
            <w:i/>
            <w:iCs/>
          </w:rPr>
          <w:t>International Food Policy Research Institute (IFPRI)</w:t>
        </w:r>
      </w:hyperlink>
    </w:p>
    <w:p w:rsidR="00B344A6" w:rsidRDefault="00B344A6">
      <w:pPr>
        <w:rPr>
          <w:i/>
          <w:iCs/>
        </w:rPr>
      </w:pPr>
    </w:p>
    <w:p w:rsidR="00B344A6" w:rsidRDefault="00773FCD">
      <w:r>
        <w:t xml:space="preserve">People often end up making suboptimal choices because they </w:t>
      </w:r>
      <w:hyperlink r:id="rId7" w:anchor="page_scan_tab_contents" w:history="1">
        <w:r>
          <w:rPr>
            <w:rStyle w:val="InternetLink"/>
          </w:rPr>
          <w:t>lack critical pieces of information</w:t>
        </w:r>
      </w:hyperlink>
      <w:r>
        <w:t xml:space="preserve">, </w:t>
      </w:r>
      <w:hyperlink r:id="rId8">
        <w:r>
          <w:rPr>
            <w:rStyle w:val="InternetLink"/>
          </w:rPr>
          <w:t>fail to notice important features of the data they possess</w:t>
        </w:r>
      </w:hyperlink>
      <w:r>
        <w:t xml:space="preserve">, or </w:t>
      </w:r>
      <w:hyperlink r:id="rId9">
        <w:r>
          <w:rPr>
            <w:rStyle w:val="InternetLink"/>
          </w:rPr>
          <w:t>believe things that are not</w:t>
        </w:r>
        <w:r>
          <w:rPr>
            <w:rStyle w:val="InternetLink"/>
          </w:rPr>
          <w:t xml:space="preserve"> true</w:t>
        </w:r>
      </w:hyperlink>
      <w:r>
        <w:t>. Indeed, these “</w:t>
      </w:r>
      <w:hyperlink r:id="rId10">
        <w:r>
          <w:rPr>
            <w:rStyle w:val="InternetLink"/>
          </w:rPr>
          <w:t>informational inefficiencies</w:t>
        </w:r>
      </w:hyperlink>
      <w:r>
        <w:t>” are considered an important reason why farmers in developing countries miss out on the b</w:t>
      </w:r>
      <w:r>
        <w:t xml:space="preserve">enefits of modern technology and improved agricultural practices. In Uganda, </w:t>
      </w:r>
      <w:hyperlink r:id="rId11">
        <w:r>
          <w:rPr>
            <w:rStyle w:val="InternetLink"/>
          </w:rPr>
          <w:t>previous research</w:t>
        </w:r>
      </w:hyperlink>
      <w:r>
        <w:t xml:space="preserve"> as part of the </w:t>
      </w:r>
      <w:hyperlink r:id="rId12">
        <w:r>
          <w:rPr>
            <w:rStyle w:val="InternetLink"/>
          </w:rPr>
          <w:t xml:space="preserve">Policy </w:t>
        </w:r>
        <w:r>
          <w:rPr>
            <w:rStyle w:val="InternetLink"/>
          </w:rPr>
          <w:t>Action for Sustainable Intensification of Cropping Systems (PASIC)</w:t>
        </w:r>
      </w:hyperlink>
      <w:r>
        <w:t xml:space="preserve"> research project suggests that a lack of information about the existence, use, and profitability of modern technologies and recommended practices constrains technical change among rice farm</w:t>
      </w:r>
      <w:r>
        <w:t>ers</w:t>
      </w:r>
      <w:r>
        <w:t xml:space="preserve">. Research also shows that a simple piece of information can have a big impact on technical change. Small design attributes, such as the </w:t>
      </w:r>
      <w:hyperlink r:id="rId13">
        <w:r>
          <w:rPr>
            <w:rStyle w:val="InternetLink"/>
          </w:rPr>
          <w:t>way in which the information is packaged</w:t>
        </w:r>
      </w:hyperlink>
      <w:r>
        <w:t xml:space="preserve"> </w:t>
      </w:r>
      <w:r>
        <w:t xml:space="preserve">or </w:t>
      </w:r>
      <w:hyperlink r:id="rId14">
        <w:r>
          <w:rPr>
            <w:rStyle w:val="InternetLink"/>
          </w:rPr>
          <w:t>who delivers it</w:t>
        </w:r>
      </w:hyperlink>
      <w:r>
        <w:t xml:space="preserve">, can dramatically improve the effectiveness of an information campaign. </w:t>
      </w:r>
    </w:p>
    <w:p w:rsidR="00B344A6" w:rsidRDefault="00B344A6"/>
    <w:p w:rsidR="00B344A6" w:rsidRDefault="00773FCD">
      <w:hyperlink r:id="rId15">
        <w:r>
          <w:rPr>
            <w:noProof/>
            <w:lang w:eastAsia="en-US" w:bidi="ar-SA"/>
          </w:rPr>
          <w:drawing>
            <wp:anchor distT="0" distB="0" distL="0" distR="0" simplePos="0" relativeHeight="3" behindDoc="0" locked="0" layoutInCell="1" allowOverlap="1" wp14:anchorId="2FB09BFF" wp14:editId="255D4C25">
              <wp:simplePos x="0" y="0"/>
              <wp:positionH relativeFrom="column">
                <wp:posOffset>652780</wp:posOffset>
              </wp:positionH>
              <wp:positionV relativeFrom="paragraph">
                <wp:posOffset>168910</wp:posOffset>
              </wp:positionV>
              <wp:extent cx="4244975" cy="2496820"/>
              <wp:effectExtent l="0" t="0" r="0" b="0"/>
              <wp:wrapTopAndBottom/>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16"/>
                      <a:stretch>
                        <a:fillRect/>
                      </a:stretch>
                    </pic:blipFill>
                    <pic:spPr bwMode="auto">
                      <a:xfrm>
                        <a:off x="0" y="0"/>
                        <a:ext cx="4244975" cy="2496820"/>
                      </a:xfrm>
                      <a:prstGeom prst="rect">
                        <a:avLst/>
                      </a:prstGeom>
                    </pic:spPr>
                  </pic:pic>
                </a:graphicData>
              </a:graphic>
            </wp:anchor>
          </w:drawing>
        </w:r>
        <w:r>
          <w:rPr>
            <w:rStyle w:val="InternetLink"/>
          </w:rPr>
          <w:t>v</w:t>
        </w:r>
      </w:hyperlink>
      <w:r>
        <w:t>Photo credit: Nathan Ochole</w:t>
      </w:r>
    </w:p>
    <w:p w:rsidR="00B344A6" w:rsidRDefault="00B344A6">
      <w:bookmarkStart w:id="0" w:name="_GoBack"/>
      <w:bookmarkEnd w:id="0"/>
    </w:p>
    <w:p w:rsidR="00B344A6" w:rsidRDefault="00773FCD">
      <w:r>
        <w:t xml:space="preserve">An </w:t>
      </w:r>
      <w:hyperlink r:id="rId17">
        <w:r>
          <w:rPr>
            <w:rStyle w:val="InternetLink"/>
          </w:rPr>
          <w:t>ongoing IFPRI study</w:t>
        </w:r>
      </w:hyperlink>
      <w:r>
        <w:t xml:space="preserve"> under the </w:t>
      </w:r>
      <w:hyperlink r:id="rId18">
        <w:r>
          <w:rPr>
            <w:rStyle w:val="InternetLink"/>
          </w:rPr>
          <w:t>Developing Local Extension Capacity (DLEC)</w:t>
        </w:r>
      </w:hyperlink>
      <w:r>
        <w:t xml:space="preserve"> project—a   collaboration with </w:t>
      </w:r>
      <w:hyperlink r:id="rId19">
        <w:r>
          <w:rPr>
            <w:rStyle w:val="InternetLink"/>
          </w:rPr>
          <w:t>Digital Green</w:t>
        </w:r>
      </w:hyperlink>
      <w:r>
        <w:t xml:space="preserve"> funded by the</w:t>
      </w:r>
      <w:r>
        <w:t xml:space="preserve"> </w:t>
      </w:r>
      <w:hyperlink r:id="rId20">
        <w:r>
          <w:rPr>
            <w:rStyle w:val="InternetLink"/>
          </w:rPr>
          <w:t>U.S. Agency for International Development</w:t>
        </w:r>
      </w:hyperlink>
      <w:r>
        <w:t xml:space="preserve"> </w:t>
      </w:r>
      <w:r>
        <w:t xml:space="preserve">under the </w:t>
      </w:r>
      <w:hyperlink r:id="rId21">
        <w:r>
          <w:rPr>
            <w:rStyle w:val="InternetLink"/>
          </w:rPr>
          <w:t>Feed the Future Initiative</w:t>
        </w:r>
      </w:hyperlink>
      <w:r>
        <w:t xml:space="preserve"> looks—at g</w:t>
      </w:r>
      <w:r>
        <w:t xml:space="preserve">ender in the context of information provision by agricultural extension services. Given that extension services in many countries tend to employ male extension workers and target male household heads, little is known about what can be achieved by changing </w:t>
      </w:r>
      <w:r>
        <w:t xml:space="preserve">the gender of the information provider(s) and its targeted recipient(s). </w:t>
      </w:r>
    </w:p>
    <w:p w:rsidR="00B344A6" w:rsidRDefault="00773FCD">
      <w:hyperlink r:id="rId22"/>
    </w:p>
    <w:p w:rsidR="00B344A6" w:rsidRDefault="00773FCD">
      <w:r>
        <w:t>This study tests if household-level outcomes—awareness, understanding, experimentation, or adoption of a technology or practice—can be infl</w:t>
      </w:r>
      <w:r>
        <w:t>uenced by small changes in the extension approach through the following pathways:</w:t>
      </w:r>
    </w:p>
    <w:p w:rsidR="00B344A6" w:rsidRDefault="00773FCD">
      <w:pPr>
        <w:numPr>
          <w:ilvl w:val="0"/>
          <w:numId w:val="1"/>
        </w:numPr>
      </w:pPr>
      <w:r>
        <w:t>Reducing information asymmetries between men and women in (dual) households. This is tested by comparing outcomes in which information</w:t>
      </w:r>
      <w:r>
        <w:t xml:space="preserve"> is given to a single individual to outc</w:t>
      </w:r>
      <w:r>
        <w:t>ome</w:t>
      </w:r>
      <w:r>
        <w:t>s from households in which the same information is given to both the man and the woman together.</w:t>
      </w:r>
    </w:p>
    <w:p w:rsidR="00B344A6" w:rsidRDefault="00773FCD">
      <w:pPr>
        <w:numPr>
          <w:ilvl w:val="0"/>
          <w:numId w:val="1"/>
        </w:numPr>
      </w:pPr>
      <w:r>
        <w:t>Promoting a “cooperative approach” to farming. This is tested by comparing outcomes in which information is given by a single individual to outcomes in whic</w:t>
      </w:r>
      <w:r>
        <w:t>h the same information is given by both the man and the woman as a couple.</w:t>
      </w:r>
    </w:p>
    <w:p w:rsidR="00B344A6" w:rsidRDefault="00773FCD">
      <w:pPr>
        <w:numPr>
          <w:ilvl w:val="0"/>
          <w:numId w:val="1"/>
        </w:numPr>
      </w:pPr>
      <w:r>
        <w:t>Leveraging a “homophily effect” whereby information is more effective if it is provided by someone of the same gender. This is tested by comparing outcomes in which the gender of th</w:t>
      </w:r>
      <w:r>
        <w:t>e messenger and recipient of the message is the same to outcomes in which the genders of the messenger and recipient differ.</w:t>
      </w:r>
    </w:p>
    <w:p w:rsidR="00B344A6" w:rsidRDefault="00773FCD" w:rsidP="0049375E">
      <w:pPr>
        <w:numPr>
          <w:ilvl w:val="0"/>
          <w:numId w:val="1"/>
        </w:numPr>
      </w:pPr>
      <w:r>
        <w:lastRenderedPageBreak/>
        <w:t>Providing information. This is the simplest effect expected from extension, and is tested by comparing outcomes based only on the p</w:t>
      </w:r>
      <w:r>
        <w:t xml:space="preserve">rovision of information to any household member. </w:t>
      </w:r>
    </w:p>
    <w:p w:rsidR="00B344A6" w:rsidRDefault="00B344A6"/>
    <w:p w:rsidR="00B344A6" w:rsidRDefault="00773FCD">
      <w:r>
        <w:t>The study involves almost 4,000 maize farmers in Uganda in five eastern districts. The information intervention is implemented as a short video shown to farm households according to the experimental design</w:t>
      </w:r>
      <w:r>
        <w:t xml:space="preserve">: videos in which the extension information messages were presented and narrated by either a man, a woman, or a couple were shown to either the man, woman, or a couple. </w:t>
      </w:r>
    </w:p>
    <w:p w:rsidR="00B344A6" w:rsidRDefault="00B344A6"/>
    <w:p w:rsidR="00B344A6" w:rsidRDefault="00773FCD">
      <w:r>
        <w:t>The video features recommended practices on maize farming, such as inorganic fertiliz</w:t>
      </w:r>
      <w:r>
        <w:t xml:space="preserve">er use and timely weeding and proper spacing. It also promotes a more commercial approach to farming more generally, such as starting small and re-investing part of the profits. </w:t>
      </w:r>
    </w:p>
    <w:p w:rsidR="00B344A6" w:rsidRDefault="00B344A6"/>
    <w:p w:rsidR="00B344A6" w:rsidRDefault="00773FCD">
      <w:r>
        <w:t>The videos were shown to study participants in August and September, right b</w:t>
      </w:r>
      <w:r>
        <w:t>efore the start of the growing season. Farmers will be visited again at the end of the season in February 2018 to collect information on outcomes. Data from surveys conducted during these visits will be used to evaluate</w:t>
      </w:r>
      <w:r>
        <w:t xml:space="preserve"> the effectiveness of the video inte</w:t>
      </w:r>
      <w:r>
        <w:t>rventions.</w:t>
      </w:r>
    </w:p>
    <w:p w:rsidR="00B344A6" w:rsidRDefault="00773FCD">
      <w:r>
        <w:rPr>
          <w:noProof/>
          <w:lang w:eastAsia="en-US" w:bidi="ar-SA"/>
        </w:rPr>
        <w:drawing>
          <wp:anchor distT="0" distB="0" distL="0" distR="0" simplePos="0" relativeHeight="2" behindDoc="0" locked="0" layoutInCell="1" allowOverlap="1">
            <wp:simplePos x="0" y="0"/>
            <wp:positionH relativeFrom="column">
              <wp:posOffset>871220</wp:posOffset>
            </wp:positionH>
            <wp:positionV relativeFrom="paragraph">
              <wp:posOffset>159385</wp:posOffset>
            </wp:positionV>
            <wp:extent cx="4378960" cy="3284220"/>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3"/>
                    <a:stretch>
                      <a:fillRect/>
                    </a:stretch>
                  </pic:blipFill>
                  <pic:spPr bwMode="auto">
                    <a:xfrm>
                      <a:off x="0" y="0"/>
                      <a:ext cx="4378960" cy="3284220"/>
                    </a:xfrm>
                    <a:prstGeom prst="rect">
                      <a:avLst/>
                    </a:prstGeom>
                  </pic:spPr>
                </pic:pic>
              </a:graphicData>
            </a:graphic>
          </wp:anchor>
        </w:drawing>
      </w:r>
      <w:r>
        <w:t>Photo credit: Marc Charles Wanume</w:t>
      </w:r>
    </w:p>
    <w:p w:rsidR="00B344A6" w:rsidRDefault="00B344A6"/>
    <w:p w:rsidR="00B344A6" w:rsidRDefault="00773FCD">
      <w:r>
        <w:t xml:space="preserve">It is too early to say anything substantive about these outcomes, so stay tuned. But a first look at data collected during the first video screenings immediately reveals the </w:t>
      </w:r>
      <w:hyperlink r:id="rId24">
        <w:r>
          <w:rPr>
            <w:rStyle w:val="InternetLink"/>
          </w:rPr>
          <w:t>devastating impact of the fall armyworm</w:t>
        </w:r>
      </w:hyperlink>
      <w:r>
        <w:rPr>
          <w:rStyle w:val="InternetLink"/>
        </w:rPr>
        <w:t xml:space="preserve"> in Uganda.</w:t>
      </w:r>
      <w:r>
        <w:t xml:space="preserve"> While a farmer might normally harvest between 600 and 800 kg of maize per </w:t>
      </w:r>
      <w:r>
        <w:t xml:space="preserve">acre, the armyworm infestation in the first season of 2017 has reduced yields to only about 280 kg of maize per acre. </w:t>
      </w:r>
    </w:p>
    <w:p w:rsidR="00B344A6" w:rsidRDefault="00B344A6"/>
    <w:p w:rsidR="00B344A6" w:rsidRDefault="00773FCD">
      <w:r>
        <w:t>A look at data collected immediately after the video screening also reveals some interesting insights. To check if people actually learn</w:t>
      </w:r>
      <w:r>
        <w:t xml:space="preserve">ed something by watching the video, participants completed a short test (just three multiple choice questions) related to the content. Our analysis shows that the information treatment seemed to work: households shown a video are significantly more likely </w:t>
      </w:r>
      <w:r>
        <w:t>to answer the multiple-choice questions correctly. In addition, households in which the video was shown to a couple are also more likely to answer the questions correctly when compared to households in which a single individual (either the man or the woman</w:t>
      </w:r>
      <w:r>
        <w:t xml:space="preserve"> in the household) viewed it. </w:t>
      </w:r>
    </w:p>
    <w:p w:rsidR="00B344A6" w:rsidRDefault="00B344A6"/>
    <w:p w:rsidR="00B344A6" w:rsidRDefault="00773FCD">
      <w:r>
        <w:lastRenderedPageBreak/>
        <w:t xml:space="preserve">However, no difference was found when the information was presented by an individual versus a couple. </w:t>
      </w:r>
      <w:r w:rsidR="0049375E">
        <w:t>Also, h</w:t>
      </w:r>
      <w:r w:rsidR="0049375E">
        <w:t xml:space="preserve">ouseholds </w:t>
      </w:r>
      <w:r>
        <w:t>in which a man received information from a man, or a woman received it from a woman, scored equally well on the test as households in which the</w:t>
      </w:r>
      <w:r>
        <w:t xml:space="preserve"> information was conveyed between different sexes. </w:t>
      </w:r>
      <w:r w:rsidR="0049375E">
        <w:t>However,</w:t>
      </w:r>
      <w:r>
        <w:t xml:space="preserve"> </w:t>
      </w:r>
      <w:r w:rsidR="0042463B">
        <w:t>the latter</w:t>
      </w:r>
      <w:r w:rsidR="0042463B">
        <w:t xml:space="preserve"> </w:t>
      </w:r>
      <w:r>
        <w:t>does not necessarily mean there is no effect from</w:t>
      </w:r>
      <w:r>
        <w:t xml:space="preserve"> </w:t>
      </w:r>
      <w:r w:rsidR="0049375E">
        <w:t>leveraging a homophiliy effect on outcomes other than test scores:</w:t>
      </w:r>
      <w:r w:rsidR="0049375E">
        <w:t xml:space="preserve"> </w:t>
      </w:r>
      <w:r>
        <w:t xml:space="preserve">Even though there is no difference in terms of </w:t>
      </w:r>
      <w:r w:rsidR="0049375E">
        <w:t>what people learn from the video</w:t>
      </w:r>
      <w:r>
        <w:t xml:space="preserve">, people may act upon information differently depending on who delivers </w:t>
      </w:r>
      <w:r w:rsidR="0049375E">
        <w:t>the information and who is targeted</w:t>
      </w:r>
      <w:r w:rsidR="0042463B">
        <w:t>, as</w:t>
      </w:r>
      <w:r>
        <w:t xml:space="preserve"> </w:t>
      </w:r>
      <w:r w:rsidR="0049375E">
        <w:t>farmers may deem the information more credible if</w:t>
      </w:r>
      <w:r>
        <w:t xml:space="preserve"> it comes from someone of the same gender. </w:t>
      </w:r>
    </w:p>
    <w:p w:rsidR="00B344A6" w:rsidRDefault="00B344A6"/>
    <w:p w:rsidR="00B344A6" w:rsidRDefault="00773FCD">
      <w:r>
        <w:t>We must wait until after the maize harvest to see if payi</w:t>
      </w:r>
      <w:r>
        <w:t>ng attention to the sex of messenger and receiver in the context of ICT-mediated information provision also leads to changes in the adoption of modern technologies and improved agronomic practices. But even in this early stages of this research, two result</w:t>
      </w:r>
      <w:r>
        <w:t xml:space="preserve">s emerge. First, extension video messages are an effective way of increasing knowledge on improved technologies, inputs, practices among our sampled maize farmers in Uganda. Second, results </w:t>
      </w:r>
      <w:hyperlink r:id="rId25">
        <w:r>
          <w:rPr>
            <w:rStyle w:val="InternetLink"/>
          </w:rPr>
          <w:t>confirm that targeting information to couples increases extension effectiveness</w:t>
        </w:r>
      </w:hyperlink>
      <w:r>
        <w:t xml:space="preserve">, at least in terms of improving their knowledge about the technologies and practices. </w:t>
      </w:r>
    </w:p>
    <w:sectPr w:rsidR="00B344A6">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roman"/>
    <w:pitch w:val="variable"/>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07629"/>
    <w:multiLevelType w:val="multilevel"/>
    <w:tmpl w:val="C4E8990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A4507F5"/>
    <w:multiLevelType w:val="multilevel"/>
    <w:tmpl w:val="D6A65D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trackRevisions/>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4A6"/>
    <w:rsid w:val="0042463B"/>
    <w:rsid w:val="0049375E"/>
    <w:rsid w:val="00773FCD"/>
    <w:rsid w:val="00B344A6"/>
    <w:rsid w:val="00F20F4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BB92B1-DC6E-46EF-A3E0-6F0059DFA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297B13"/>
    <w:rPr>
      <w:color w:val="0563C1" w:themeColor="hyperlink"/>
      <w:u w:val="single"/>
    </w:rPr>
  </w:style>
  <w:style w:type="character" w:customStyle="1" w:styleId="Bullets">
    <w:name w:val="Bullets"/>
    <w:qFormat/>
    <w:rPr>
      <w:rFonts w:ascii="OpenSymbol" w:eastAsia="OpenSymbol" w:hAnsi="OpenSymbol" w:cs="OpenSymbol"/>
    </w:rPr>
  </w:style>
  <w:style w:type="character" w:customStyle="1" w:styleId="BalloonTextChar">
    <w:name w:val="Balloon Text Char"/>
    <w:basedOn w:val="DefaultParagraphFont"/>
    <w:link w:val="BalloonText"/>
    <w:uiPriority w:val="99"/>
    <w:semiHidden/>
    <w:qFormat/>
    <w:rsid w:val="002C4450"/>
    <w:rPr>
      <w:rFonts w:ascii="Times New Roman" w:hAnsi="Times New Roman" w:cs="Mangal"/>
      <w:sz w:val="18"/>
      <w:szCs w:val="16"/>
    </w:rPr>
  </w:style>
  <w:style w:type="character" w:styleId="CommentReference">
    <w:name w:val="annotation reference"/>
    <w:basedOn w:val="DefaultParagraphFont"/>
    <w:uiPriority w:val="99"/>
    <w:semiHidden/>
    <w:unhideWhenUsed/>
    <w:qFormat/>
    <w:rsid w:val="001171D9"/>
    <w:rPr>
      <w:sz w:val="18"/>
      <w:szCs w:val="18"/>
    </w:rPr>
  </w:style>
  <w:style w:type="character" w:customStyle="1" w:styleId="CommentTextChar">
    <w:name w:val="Comment Text Char"/>
    <w:basedOn w:val="DefaultParagraphFont"/>
    <w:link w:val="CommentText"/>
    <w:uiPriority w:val="99"/>
    <w:semiHidden/>
    <w:qFormat/>
    <w:rsid w:val="001171D9"/>
    <w:rPr>
      <w:rFonts w:cs="Mangal"/>
      <w:szCs w:val="21"/>
    </w:rPr>
  </w:style>
  <w:style w:type="character" w:customStyle="1" w:styleId="CommentSubjectChar">
    <w:name w:val="Comment Subject Char"/>
    <w:basedOn w:val="CommentTextChar"/>
    <w:link w:val="CommentSubject"/>
    <w:uiPriority w:val="99"/>
    <w:semiHidden/>
    <w:qFormat/>
    <w:rsid w:val="001171D9"/>
    <w:rPr>
      <w:rFonts w:cs="Mangal"/>
      <w:b/>
      <w:bCs/>
      <w:sz w:val="20"/>
      <w:szCs w:val="18"/>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UnresolvedMention">
    <w:name w:val="Unresolved Mention"/>
    <w:basedOn w:val="DefaultParagraphFont"/>
    <w:uiPriority w:val="99"/>
    <w:semiHidden/>
    <w:unhideWhenUsed/>
    <w:qFormat/>
    <w:rsid w:val="00781D47"/>
    <w:rPr>
      <w:color w:val="808080"/>
      <w:shd w:val="clear" w:color="auto" w:fill="E6E6E6"/>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BalloonText">
    <w:name w:val="Balloon Text"/>
    <w:basedOn w:val="Normal"/>
    <w:link w:val="BalloonTextChar"/>
    <w:uiPriority w:val="99"/>
    <w:semiHidden/>
    <w:unhideWhenUsed/>
    <w:qFormat/>
    <w:rsid w:val="002C4450"/>
    <w:rPr>
      <w:rFonts w:ascii="Times New Roman" w:hAnsi="Times New Roman" w:cs="Mangal"/>
      <w:sz w:val="18"/>
      <w:szCs w:val="16"/>
    </w:rPr>
  </w:style>
  <w:style w:type="paragraph" w:styleId="CommentText">
    <w:name w:val="annotation text"/>
    <w:basedOn w:val="Normal"/>
    <w:link w:val="CommentTextChar"/>
    <w:uiPriority w:val="99"/>
    <w:semiHidden/>
    <w:unhideWhenUsed/>
    <w:qFormat/>
    <w:rsid w:val="001171D9"/>
    <w:rPr>
      <w:rFonts w:cs="Mangal"/>
      <w:szCs w:val="21"/>
    </w:rPr>
  </w:style>
  <w:style w:type="paragraph" w:styleId="CommentSubject">
    <w:name w:val="annotation subject"/>
    <w:basedOn w:val="CommentText"/>
    <w:link w:val="CommentSubjectChar"/>
    <w:uiPriority w:val="99"/>
    <w:semiHidden/>
    <w:unhideWhenUsed/>
    <w:qFormat/>
    <w:rsid w:val="001171D9"/>
    <w:rPr>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academic.oup.com/qje/article-abstract/129/3/1311/1817927" TargetMode="External"/><Relationship Id="rId13" Type="http://schemas.openxmlformats.org/officeDocument/2006/relationships/hyperlink" Target="https://www.aeaweb.org/articles?id=10.1257/app.4.4.1" TargetMode="External"/><Relationship Id="rId18" Type="http://schemas.openxmlformats.org/officeDocument/2006/relationships/hyperlink" Target="http://www.digitalgreen.org/usaid-dlec/"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feedthefuture.gov/" TargetMode="External"/><Relationship Id="rId7" Type="http://schemas.openxmlformats.org/officeDocument/2006/relationships/hyperlink" Target="http://www.jstor.org/stable/29730068?seq=1" TargetMode="External"/><Relationship Id="rId12" Type="http://schemas.openxmlformats.org/officeDocument/2006/relationships/hyperlink" Target="http://www.pasic.ug/" TargetMode="External"/><Relationship Id="rId17" Type="http://schemas.openxmlformats.org/officeDocument/2006/relationships/hyperlink" Target="https://www.socialscienceregistry.org/trials/2153" TargetMode="External"/><Relationship Id="rId25" Type="http://schemas.openxmlformats.org/officeDocument/2006/relationships/hyperlink" Target="https://academic.oup.com/erae/article-lookup/doi/10.1093/erae/jbv039"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www.usaid.gov/" TargetMode="External"/><Relationship Id="rId1" Type="http://schemas.openxmlformats.org/officeDocument/2006/relationships/customXml" Target="../customXml/item1.xml"/><Relationship Id="rId6" Type="http://schemas.openxmlformats.org/officeDocument/2006/relationships/hyperlink" Target="http://www.ifpri.org/" TargetMode="External"/><Relationship Id="rId11" Type="http://schemas.openxmlformats.org/officeDocument/2006/relationships/hyperlink" Target="http://www.ifpri.org/blog/addressing-knowledge-gaps-rice-growing-eastern-uganda" TargetMode="External"/><Relationship Id="rId24" Type="http://schemas.openxmlformats.org/officeDocument/2006/relationships/hyperlink" Target="https://www.theguardian.com/global-development-professionals-network/2017/may/16/armyworms-the-hungry-caterpillar-threatening-a-global-food-crisis" TargetMode="External"/><Relationship Id="rId5" Type="http://schemas.openxmlformats.org/officeDocument/2006/relationships/webSettings" Target="webSettings.xml"/><Relationship Id="rId15" Type="http://schemas.openxmlformats.org/officeDocument/2006/relationships/hyperlink" Target="https://www.usaid.gov/" TargetMode="External"/><Relationship Id="rId23" Type="http://schemas.openxmlformats.org/officeDocument/2006/relationships/image" Target="media/image2.jpeg"/><Relationship Id="rId10" Type="http://schemas.openxmlformats.org/officeDocument/2006/relationships/hyperlink" Target="https://www.povertyactionlab.org/sites/default/files/publications/ATAI%20Review%20Paper%20May%202013.pdf" TargetMode="External"/><Relationship Id="rId19" Type="http://schemas.openxmlformats.org/officeDocument/2006/relationships/hyperlink" Target="https://www.digitalgreen.org/" TargetMode="External"/><Relationship Id="rId4" Type="http://schemas.openxmlformats.org/officeDocument/2006/relationships/settings" Target="settings.xml"/><Relationship Id="rId9" Type="http://schemas.openxmlformats.org/officeDocument/2006/relationships/hyperlink" Target="https://academic.oup.com/qje/article-abstract/125/2/515/1882172/The-Perceived-Returns-to-Education-and-the-Demand?redirectedFrom=fulltext" TargetMode="External"/><Relationship Id="rId14" Type="http://schemas.openxmlformats.org/officeDocument/2006/relationships/hyperlink" Target="https://papers.ssrn.com/sol3/papers.cfm?abstract_id=2315229" TargetMode="External"/><Relationship Id="rId22" Type="http://schemas.openxmlformats.org/officeDocument/2006/relationships/hyperlink" Target="https://www.usaid.gov/"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2A6D6-6777-413C-B75F-23BEC5955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1170</Words>
  <Characters>6671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IFPRI</Company>
  <LinksUpToDate>false</LinksUpToDate>
  <CharactersWithSpaces>7826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McQuaid</dc:creator>
  <dc:description/>
  <cp:lastModifiedBy>bvancampenhout</cp:lastModifiedBy>
  <cp:revision>2</cp:revision>
  <dcterms:created xsi:type="dcterms:W3CDTF">2017-09-26T12:18:00Z</dcterms:created>
  <dcterms:modified xsi:type="dcterms:W3CDTF">2017-09-26T12:18:00Z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