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Both trial packs and cooking demos raise use of an improved maize variety</w:t>
      </w:r>
    </w:p>
    <w:p>
      <w:pPr>
        <w:pStyle w:val="ListBullet"/>
      </w:pPr>
      <w:r>
        <w:t>Trial-pack uptake runs through seed recycling, not fresh-seed purchases</w:t>
      </w:r>
    </w:p>
    <w:p>
      <w:pPr>
        <w:pStyle w:val="ListBullet"/>
      </w:pPr>
      <w:r>
        <w:t>Recycling is privately rational given seed prices, quality, and liquidity</w:t>
      </w:r>
    </w:p>
    <w:p>
      <w:pPr>
        <w:pStyle w:val="ListBullet"/>
      </w:pPr>
      <w:r>
        <w:t>Trial packs are far more cost-effective for turnover than cooking demos</w:t>
      </w:r>
    </w:p>
    <w:p>
      <w:pPr>
        <w:pStyle w:val="ListBullet"/>
      </w:pPr>
      <w:r>
        <w:t>The best instrument depends on the objective: turnover vs. seed-market growth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