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B4EA1"/>
          <w:sz w:val="36"/>
        </w:rPr>
        <w:t>案例03：钛边角料回收：循环经济中的商业模式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D6E84"/>
          <w:sz w:val="22"/>
        </w:rPr>
        <w:t>《创新创业基础》区域产业案例资源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一、案例定位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项目</w:t>
            </w:r>
          </w:p>
        </w:tc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内容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对应模块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商业模式与项目设计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区域连接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 · 钛产业循环经济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核心知识点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成本结构、关键伙伴、绿色价值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AI融入点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用AI辅助构建回收流程和利益相关者图。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建议课型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课堂导入、案例讨论、小组项目、课后拓展均可使用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二、案例情境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钛加工企业存在材料利用率、回收再利用和供应链协同需求。 本案例引导学生从区域产业真实问题出发，完成从痛点识别、机会判断到方案表达的学习闭环。教师可结合自有调研照片、企业参访材料或学生项目资料进一步替换和扩展。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三、课堂任务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绘制钛边角料回收商业模式画布。要求学生说明目标用户、痛点证据、解决方案、AI参与环节、人工核验依据和初步商业模式。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四、讨论问题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该案例中最核心的真实用户是谁？请区分购买者、使用者和受益者。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如果只能做一个最小可行产品，第一版应验证哪一个关键假设？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AI输出可能在哪些环节产生误判？团队如何进行事实核验和伦理把关？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五、案例分析表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分析维度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本案例要点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课堂操作建议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产业痛点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钛加工企业存在材料利用率、回收再利用和供应链协同需求。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用访谈或公开资料核验真实需求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课程知识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成本结构、关键伙伴、绿色价值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用课程模型解释问题而非堆砌概念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AI工具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用AI辅助构建回收流程和利益相关者图。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保留Prompt、AI输出和人工修订记录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学习产出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绘制钛边角料回收商业模式画布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提交一页机会卡或画布，课堂互评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六、评价建议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权重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评价要点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问题识别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能否基于宝鸡或陕西区域产业提出真实、具体、可验证的问题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创新方案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方案是否体现用户价值、区域特色和可实施路径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AI使用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AI是否服务于调研、分析、原型或评价，是否保留核验记录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表达与伦理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表达是否清晰，是否说明数据、版权、隐私和技术伦理边界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七、版权与资源说明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本案例图片为自制教学示意图；文字内容基于课程教学设计和区域产业公开资料整理，未使用第三方商业图片。参考资料方向：宝鸡钛及钛合金产业集群、宝鸡钛谷相关公开信息。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