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案例12：秦岭森林防火：无人机与AI识别的公益创业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用户需求与机会识别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秦岭区域 · 低空经济+生态保护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公益创业、社会价值、可持续收入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用AI识别烟雾/火点场景需求并设计告警流程。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生态保护场景需要低成本、及时的预警与巡查服务。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设计一个森林防火社会企业方案。要求学生说明目标用户、痛点证据、解决方案、AI参与环节、人工核验依据和初步商业模式。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生态保护场景需要低成本、及时的预警与巡查服务。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公益创业、社会价值、可持续收入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用AI识别烟雾/火点场景需求并设计告警流程。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设计一个森林防火社会企业方案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本案例图片为自制教学示意图；文字内容基于课程教学设计和区域产业公开资料整理，未使用第三方商业图片。参考资料方向：陕西人工智能、大数据、低空经济、硬科技产业公开信息。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