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案例18：光子传感保护文物：科技赋能周秦文化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商业模式与项目设计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宝鸡/西安 · 光子技术+文物保护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技术应用、社会价值、用户付费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用AI生成文物环境监测指标清单。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文物保护需要环境监测、展示互动与游客教育。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设计一套文物展柜智能监测服务。要求学生说明目标用户、痛点证据、解决方案、AI参与环节、人工核验依据和初步商业模式。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文物保护需要环境监测、展示互动与游客教育。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技术应用、社会价值、用户付费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用AI生成文物环境监测指标清单。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设计一套文物展柜智能监测服务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本案例图片为自制教学示意图；文字内容基于课程教学设计和区域产业公开资料整理，未使用第三方商业图片。参考资料方向：宝鸡青铜器、长乐塬工业遗址、陕西文旅公开信息。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