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案例42：秦岭本草数字健康：传统资源的现代转化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陕西秦岭 · 中医药健康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资源转化、用户信任、合规边界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用AI检查健康文案是否夸大功效。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秦岭生态和中药材资源可用于健康科普、文旅和合规消费品设计。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设计一个合规健康科普服务。要求学生说明目标用户、痛点证据、解决方案、AI参与环节、人工核验依据和初步商业模式。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秦岭生态和中药材资源可用于健康科普、文旅和合规消费品设计。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资源转化、用户信任、合规边界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用AI检查健康文案是否夸大功效。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设计一个合规健康科普服务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本案例图片为自制教学示意图；文字内容基于课程教学设计和区域产业公开资料整理，未使用第三方商业图片。参考资料方向：宝鸡青铜器、长乐塬工业遗址、陕西文旅公开信息。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