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理论作业02：创新思维与新质生产力案例拆解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选择一个陕西硬科技或传统产业转型案例，使用发散思维、逆向思维或TRIZ进行拆解。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创新思维导图、问题-方法-结果表。提交时需附：AI使用披露、参考资料来源、人工核验说明。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