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0B4EA1"/>
          <w:sz w:val="36"/>
        </w:rPr>
        <w:t>理论作业10：路演故事线与证据链设计</w:t>
      </w:r>
    </w:p>
    <w:p>
      <w:pPr>
        <w:jc w:val="center"/>
      </w:pPr>
      <w:r>
        <w:rPr>
          <w:rFonts w:ascii="Times New Roman" w:hAnsi="Times New Roman" w:eastAsia="微软雅黑"/>
          <w:b w:val="0"/>
          <w:color w:val="5D6E84"/>
          <w:sz w:val="22"/>
        </w:rPr>
        <w:t>《创新创业基础》区域产业融合任务单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514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理论_assignment_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一、作业目标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把课程理论与宝鸡或陕西区域产业场景连接起来。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训练学生从真实问题出发进行用户分析、机会识别、方案设计和反思表达。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规范使用AI工具，保留提示词、输出、人工修订和事实核验证据。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二、任务说明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将项目整理为问题、方案、市场、商业模式、团队、社会价值的路演故事线。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三、推荐选题方向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方向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区域产业例子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可观察问题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新材料与制造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宝鸡钛谷、汽车零部件、装备制造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质检、定制、供应链、运维服务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AI与数字经济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陕西硬科技、AI服务、低空经济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数据采集、智能客服、智能诊断、场景合规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现代农业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眉县猕猴桃、陕西苹果、智慧灌溉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品牌、冷链、分级、农技服务、电商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文旅文创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宝鸡青铜器、长乐塬、西凤酒、周秦文化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研学、导览、IP、年轻化传播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四、提交成果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6页路演提纲、证据链表。提交时需附：AI使用披露、参考资料来源、人工核验说明。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五、评分标准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评价维度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分值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达成要求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区域产业结合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问题来自宝鸡或陕西真实产业、公共服务或文化场景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课程知识应用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能准确运用本次课程概念、模型或工具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AI使用质量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20分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AI用于调研、分析、表达或诊断，且有人工判断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成果完整性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20分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材料结构完整、证据充分、表达清晰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伦理与版权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10分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注明资料来源，不使用未授权图片，不夸大事实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六、课堂使用建议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可采用“5分钟小组汇报+3分钟同伴提问+2分钟教师点评”的方式完成展示。教师可选取2-3份典型作业进行现场AI诊断，形成课堂即时反馈。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