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微软雅黑"/>
          <w:b/>
          <w:color w:val="0B4EA1"/>
          <w:sz w:val="36"/>
        </w:rPr>
        <w:t>理论作业11：AI伦理与课程思政反思</w:t>
      </w:r>
    </w:p>
    <w:p>
      <w:pPr>
        <w:jc w:val="center"/>
      </w:pPr>
      <w:r>
        <w:rPr>
          <w:rFonts w:ascii="Times New Roman" w:hAnsi="Times New Roman" w:eastAsia="微软雅黑"/>
          <w:b w:val="0"/>
          <w:color w:val="5D6E84"/>
          <w:sz w:val="22"/>
        </w:rPr>
        <w:t>《创新创业基础》区域产业融合任务单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514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理论_assignment_1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一、作业目标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把课程理论与宝鸡或陕西区域产业场景连接起来。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训练学生从真实问题出发进行用户分析、机会识别、方案设计和反思表达。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规范使用AI工具，保留提示词、输出、人工修订和事实核验证据。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二、任务说明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围绕AI使用、数据隐私、学术诚信、科技报国和服务地方发展写反思。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三、推荐选题方向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方向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区域产业例子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可观察问题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新材料与制造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宝鸡钛谷、汽车零部件、装备制造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质检、定制、供应链、运维服务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AI与数字经济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陕西硬科技、AI服务、低空经济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数据采集、智能客服、智能诊断、场景合规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现代农业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眉县猕猴桃、陕西苹果、智慧灌溉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品牌、冷链、分级、农技服务、电商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文旅文创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宝鸡青铜器、长乐塬、西凤酒、周秦文化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研学、导览、IP、年轻化传播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四、提交成果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800字反思、AI使用披露表。提交时需附：AI使用披露、参考资料来源、人工核验说明。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五、评分标准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评价维度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分值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达成要求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区域产业结合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问题来自宝鸡或陕西真实产业、公共服务或文化场景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课程知识应用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能准确运用本次课程概念、模型或工具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AI使用质量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20分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AI用于调研、分析、表达或诊断，且有人工判断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成果完整性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20分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材料结构完整、证据充分、表达清晰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伦理与版权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10分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注明资料来源，不使用未授权图片，不夸大事实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六、课堂使用建议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可采用“5分钟小组汇报+3分钟同伴提问+2分钟教师点评”的方式完成展示。教师可选取2-3份典型作业进行现场AI诊断，形成课堂即时反馈。</w:t>
      </w:r>
    </w:p>
    <w:sectPr w:rsidR="00FC693F" w:rsidRPr="0006063C" w:rsidSect="00034616"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