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案例02：钛合金植入材料：银发健康场景的创业机会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宝鸡/西安 · 钛材料+医疗健康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技术商业化、目标用户、伦理边界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用AI生成用户旅程图并提示医疗伦理风险。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钛及钛合金在医疗器械领域具备应用基础，适合讨论康复、适老化与可及性。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提出一个非诊疗型康复服务方案。要求学生说明目标用户、痛点证据、解决方案、AI参与环节、人工核验依据和初步商业模式。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钛及钛合金在医疗器械领域具备应用基础，适合讨论康复、适老化与可及性。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技术商业化、目标用户、伦理边界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用AI生成用户旅程图并提示医疗伦理风险。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提出一个非诊疗型康复服务方案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本案例图片为自制教学示意图；文字内容基于课程教学设计和区域产业公开资料整理，未使用第三方商业图片。参考资料方向：宝鸡钛及钛合金产业集群、宝鸡钛谷相关公开信息。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