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B4EA1"/>
          <w:sz w:val="36"/>
        </w:rPr>
        <w:t>案例15：高速公路低空应急：事故救援信息服务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D6E84"/>
          <w:sz w:val="22"/>
        </w:rPr>
        <w:t>《创新创业基础》区域产业案例资源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一、案例定位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项目</w:t>
            </w:r>
          </w:p>
        </w:tc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内容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对应模块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路演竞赛与商业落地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区域连接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陕西交通 · 低空经济+交通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核心知识点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应急场景、数据协同、合作伙伴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AI融入点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用AI生成应急响应流程图。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建议课型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课堂导入、案例讨论、小组项目、课后拓展均可使用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二、案例情境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交通应急需要快速感知和跨部门协同。 本案例引导学生从区域产业真实问题出发，完成从痛点识别、机会判断到方案表达的学习闭环。教师可结合自有调研照片、企业参访材料或学生项目资料进一步替换和扩展。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三、课堂任务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设计低空应急信息服务闭环。要求学生说明目标用户、痛点证据、解决方案、AI参与环节、人工核验依据和初步商业模式。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四、讨论问题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该案例中最核心的真实用户是谁？请区分购买者、使用者和受益者。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如果只能做一个最小可行产品，第一版应验证哪一个关键假设？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AI输出可能在哪些环节产生误判？团队如何进行事实核验和伦理把关？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五、案例分析表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分析维度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本案例要点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课堂操作建议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产业痛点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交通应急需要快速感知和跨部门协同。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用访谈或公开资料核验真实需求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课程知识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应急场景、数据协同、合作伙伴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用课程模型解释问题而非堆砌概念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AI工具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用AI生成应急响应流程图。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保留Prompt、AI输出和人工修订记录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学习产出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设计低空应急信息服务闭环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提交一页机会卡或画布，课堂互评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六、评价建议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权重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评价要点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问题识别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能否基于宝鸡或陕西区域产业提出真实、具体、可验证的问题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创新方案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方案是否体现用户价值、区域特色和可实施路径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AI使用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AI是否服务于调研、分析、原型或评价，是否保留核验记录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表达与伦理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表达是否清晰，是否说明数据、版权、隐私和技术伦理边界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七、版权与资源说明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本案例图片为自制教学示意图；文字内容基于课程教学设计和区域产业公开资料整理，未使用第三方商业图片。参考资料方向：陕西人工智能、大数据、低空经济、硬科技产业公开信息。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