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案例28：陕西苹果分级预冷：标准化带来的创业机会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陕西苹果产区 · 果业供应链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标准化、分级、供应链金融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用AI生成分级规则和客户分层方案。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果品分级、预冷、包装和渠道协同影响品牌溢价。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设计一个果品分级服务商业模式。要求学生说明目标用户、痛点证据、解决方案、AI参与环节、人工核验依据和初步商业模式。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果品分级、预冷、包装和渠道协同影响品牌溢价。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标准化、分级、供应链金融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用AI生成分级规则和客户分层方案。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设计一个果品分级服务商业模式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