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案例29：渭北旱塬节水灌溉：硬件+服务的模式设计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渭北地区 · 智慧农业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硬件租赁、运维服务、效果评价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用AI分析土壤湿度数据并提示灌溉建议。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干旱半干旱区域农业需要节水、监测和精细化管理。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设计智慧灌溉服务套餐。要求学生说明目标用户、痛点证据、解决方案、AI参与环节、人工核验依据和初步商业模式。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干旱半干旱区域农业需要节水、监测和精细化管理。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硬件租赁、运维服务、效果评价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用AI分析土壤湿度数据并提示灌溉建议。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设计智慧灌溉服务套餐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本案例图片为自制教学示意图；文字内容基于课程教学设计和区域产业公开资料整理，未使用第三方商业图片。参考资料方向：眉县猕猴桃、陕西苹果等区域特色农业公开信息。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