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B4EA1"/>
          <w:sz w:val="36"/>
        </w:rPr>
        <w:t>案例34：煤化工降碳创意：传统产业的新商业叙事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D6E84"/>
          <w:sz w:val="22"/>
        </w:rPr>
        <w:t>《创新创业基础》区域产业案例资源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一、案例定位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项目</w:t>
            </w:r>
          </w:p>
        </w:tc>
        <w:tc>
          <w:tcPr>
            <w:tcW w:type="dxa" w:w="4929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内容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对应模块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AI赋能与产品Demo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区域连接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陕北/陕西 · 能源化工转型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核心知识点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碳管理、技术路线、可持续价值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AI融入点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用AI生成碳减排路径对比表。</w:t>
            </w:r>
          </w:p>
        </w:tc>
      </w:tr>
      <w:tr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建议课型</w:t>
            </w:r>
          </w:p>
        </w:tc>
        <w:tc>
          <w:tcPr>
            <w:tcW w:type="dxa" w:w="4929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课堂导入、案例讨论、小组项目、课后拓展均可使用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二、案例情境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能源化工转型需要绿色技术、碳管理与产业协同。 本案例引导学生从区域产业真实问题出发，完成从痛点识别、机会判断到方案表达的学习闭环。教师可结合自有调研照片、企业参访材料或学生项目资料进一步替换和扩展。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三、课堂任务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完成一个降碳项目价值主张。要求学生说明目标用户、痛点证据、解决方案、AI参与环节、人工核验依据和初步商业模式。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四、讨论问题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该案例中最核心的真实用户是谁？请区分购买者、使用者和受益者。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如果只能做一个最小可行产品，第一版应验证哪一个关键假设？</w:t>
      </w:r>
    </w:p>
    <w:p>
      <w:pPr>
        <w:ind w:left="312" w:hanging="113"/>
      </w:pPr>
      <w:r>
        <w:rPr>
          <w:rFonts w:ascii="Times New Roman" w:hAnsi="Times New Roman" w:eastAsia="微软雅黑"/>
          <w:b w:val="0"/>
          <w:color w:val="18263E"/>
          <w:sz w:val="20"/>
        </w:rPr>
        <w:t>• AI输出可能在哪些环节产生误判？团队如何进行事实核验和伦理把关？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五、案例分析表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分析维度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本案例要点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课堂操作建议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产业痛点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能源化工转型需要绿色技术、碳管理与产业协同。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用访谈或公开资料核验真实需求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课程知识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碳管理、技术路线、可持续价值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用课程模型解释问题而非堆砌概念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AI工具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用AI生成碳减排路径对比表。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保留Prompt、AI输出和人工修订记录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学习产出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完成一个降碳项目价值主张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提交一页机会卡或画布，课堂互评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六、评价建议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评价项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权重</w:t>
            </w:r>
          </w:p>
        </w:tc>
        <w:tc>
          <w:tcPr>
            <w:tcW w:type="dxa" w:w="3286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B4EA1"/>
                <w:sz w:val="19"/>
              </w:rPr>
              <w:t>评价要点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问题识别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能否基于宝鸡或陕西区域产业提出真实、具体、可验证的问题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创新方案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方案是否体现用户价值、区域特色和可实施路径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AI使用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AI是否服务于调研、分析、原型或评价，是否保留核验记录</w:t>
            </w:r>
          </w:p>
        </w:tc>
      </w:tr>
      <w:tr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表达与伦理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25%</w:t>
            </w:r>
          </w:p>
        </w:tc>
        <w:tc>
          <w:tcPr>
            <w:tcW w:type="dxa" w:w="3286"/>
          </w:tcPr>
          <w:p>
            <w:pPr>
              <w:jc w:val="left"/>
            </w:pPr>
            <w:r>
              <w:rPr>
                <w:rFonts w:ascii="Times New Roman" w:hAnsi="Times New Roman" w:eastAsia="微软雅黑"/>
                <w:b w:val="0"/>
                <w:color w:val="18263E"/>
                <w:sz w:val="18"/>
              </w:rPr>
              <w:t>表达是否清晰，是否说明数据、版权、隐私和技术伦理边界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B4EA1"/>
          <w:sz w:val="26"/>
        </w:rPr>
        <w:t>七、版权与资源说明</w:t>
      </w:r>
    </w:p>
    <w:p>
      <w:pPr>
        <w:spacing w:line="276" w:lineRule="auto" w:after="60"/>
        <w:ind w:firstLine="420"/>
      </w:pPr>
      <w:r>
        <w:rPr>
          <w:rFonts w:ascii="Times New Roman" w:hAnsi="Times New Roman" w:eastAsia="微软雅黑"/>
          <w:b w:val="0"/>
          <w:color w:val="18263E"/>
          <w:sz w:val="21"/>
        </w:rPr>
        <w:t>本案例图片为自制教学示意图；文字内容基于课程教学设计和区域产业公开资料整理，未使用第三方商业图片。参考资料方向：陕西重点产业链、秦创原和现代化产业体系公开信息。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