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案例38：法门寺文化线路：数字导览与消费转化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宝鸡扶风 · 文旅服务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服务设计、路线规划、二次消费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用AI生成分人群游览路线。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文化景区游客需要路线、讲解、餐饮住宿和文创推荐一体化服务。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设计一款数字导览服务。要求学生说明目标用户、痛点证据、解决方案、AI参与环节、人工核验依据和初步商业模式。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文化景区游客需要路线、讲解、餐饮住宿和文创推荐一体化服务。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服务设计、路线规划、二次消费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用AI生成分人群游览路线。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设计一款数字导览服务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本案例图片为自制教学示意图；文字内容基于课程教学设计和区域产业公开资料整理，未使用第三方商业图片。参考资料方向：宝鸡青铜器、长乐塬工业遗址、陕西文旅公开信息。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