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案例40：西凤酒年轻化：老字号品牌再定位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宝鸡凤翔 · 老字号与消费品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品牌定位、渠道、用户细分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用AI生成不同风格的品牌主张并人工筛选。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老字号品牌面向年轻用户需要新表达、新场景和新渠道。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设计一个年轻化传播活动。要求学生说明目标用户、痛点证据、解决方案、AI参与环节、人工核验依据和初步商业模式。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老字号品牌面向年轻用户需要新表达、新场景和新渠道。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品牌定位、渠道、用户细分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用AI生成不同风格的品牌主张并人工筛选。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设计一个年轻化传播活动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本案例图片为自制教学示意图；文字内容基于课程教学设计和区域产业公开资料整理，未使用第三方商业图片。参考资料方向：宝鸡青铜器、长乐塬工业遗址、陕西文旅公开信息。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