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案例47：中欧班列与陕西外贸：小企业出海机会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 · 跨境物流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跨境渠道、供应链、风险管理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用AI生成目标市场初筛和风险表。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陕西区位和国际物流通道为中小企业出海提供基础。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设计一个小企业出海服务包。要求学生说明目标用户、痛点证据、解决方案、AI参与环节、人工核验依据和初步商业模式。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陕西区位和国际物流通道为中小企业出海提供基础。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跨境渠道、供应链、风险管理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用AI生成目标市场初筛和风险表。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设计一个小企业出海服务包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