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案例49：老字号数字会员：从一次购买到长期关系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4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AI赋能与产品Demo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宝鸡/陕西 · 消费服务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会员体系、复购、数据合规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用AI生成会员分层和触达内容。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老字号和地方特产品牌需要数字化会员经营。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设计一个数字会员运营SOP。要求学生说明目标用户、痛点证据、解决方案、AI参与环节、人工核验依据和初步商业模式。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老字号和地方特产品牌需要数字化会员经营。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会员体系、复购、数据合规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用AI生成会员分层和触达内容。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设计一个数字会员运营SOP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本案例图片为自制教学示意图；文字内容基于课程教学设计和区域产业公开资料整理，未使用第三方商业图片。参考资料方向：宝鸡青铜器、长乐塬工业遗址、陕西文旅公开信息。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