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rPr/>
        <w:t xml:space="preserve">示例·syllabus</w:t>
      </w:r>
    </w:p>
    <w:p>
      <w:pPr/>
      <w:r>
        <w:rPr>
          <w:color w:val="7A4B18"/>
          <w:sz w:val="18"/>
          <w:szCs w:val="18"/>
        </w:rPr>
        <w:t xml:space="preserve">思政版教学大纲 · 第 1 版 · 草稿 · 框架：BOPPPS · art_f16eda667850480b90c0</w:t>
      </w:r>
    </w:p>
    <w:p>
      <w:pPr/>
      <w:r>
        <w:rPr>
          <w:color w:val="7A4B18"/>
          <w:sz w:val="18"/>
          <w:szCs w:val="18"/>
        </w:rPr>
        <w:t xml:space="preserve">演示骨架（未调用模型），须教师补充与审核。</w:t>
      </w:r>
    </w:p>
    <w:p>
      <w:pPr>
        <w:pStyle w:val="Heading2"/>
      </w:pPr>
      <w:r>
        <w:rPr/>
        <w:t xml:space="preserve">课程信息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项目</w:t>
            </w:r>
          </w:p>
        </w:tc>
        <w:tc>
          <w:tcPr>
            <w:tcW w:w="4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课程名称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机械质量检测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专业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机械制造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对象/年级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大二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总学时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周次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单次课时长（分钟）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课程/单元主题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知识目标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掌握公差与检测方法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能力目标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能依据检测数据作放行判断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价值目标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树立质量责任与公共安全意识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思政元素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工程责任、诚信、公共安全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真实案例（注明来源）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某汽车零件召回案例（来源：待核查）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试卷总分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100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课程定位　〔教研组长（M0）〕</w:t>
      </w:r>
    </w:p>
    <w:p>
      <w:pPr/>
      <w:r>
        <w:rPr/>
        <w:t xml:space="preserve">机械质量检测面向机械制造大二，本单元主题为「零件尺寸检测与放行判断」。课程在专业知识学习中融入工程责任、诚信、公共安全。【待教师补充】（演示骨架）</w:t>
      </w:r>
    </w:p>
    <w:p>
      <w:pPr>
        <w:pStyle w:val="Heading2"/>
      </w:pPr>
      <w:r>
        <w:rPr/>
        <w:t xml:space="preserve">学情分析　〔教学设计教师（M1）〕</w:t>
      </w:r>
    </w:p>
    <w:p>
      <w:pPr/>
      <w:r>
        <w:rPr/>
        <w:t xml:space="preserve">先修：【待教师补充】。学情诊断方式：【待教师补充】。（演示骨架，需依据真实学情补充）</w:t>
      </w:r>
    </w:p>
    <w:p>
      <w:pPr>
        <w:pStyle w:val="Heading2"/>
      </w:pPr>
      <w:r>
        <w:rPr/>
        <w:t xml:space="preserve">三类目标　〔教学设计教师（M1）〕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编号</w:t>
            </w:r>
          </w:p>
        </w:tc>
        <w:tc>
          <w:tcPr>
            <w:tcW w:w="3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类别</w:t>
            </w:r>
          </w:p>
        </w:tc>
        <w:tc>
          <w:tcPr>
            <w:tcW w:w="3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目标描述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知识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掌握公差与检测方法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能力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能依据检测数据作放行判断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价值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树立质量责任与公共安全意识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内容与学时　〔专业教师（M2）〕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单元</w:t>
            </w:r>
          </w:p>
        </w:tc>
        <w:tc>
          <w:tcPr>
            <w:tcW w:w="18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内容</w:t>
            </w:r>
          </w:p>
        </w:tc>
        <w:tc>
          <w:tcPr>
            <w:tcW w:w="18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学时</w:t>
            </w:r>
          </w:p>
        </w:tc>
        <w:tc>
          <w:tcPr>
            <w:tcW w:w="18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对应目标</w:t>
            </w:r>
          </w:p>
        </w:tc>
        <w:tc>
          <w:tcPr>
            <w:tcW w:w="18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思政融入点</w:t>
            </w:r>
          </w:p>
        </w:tc>
      </w:tr>
      <w:tr>
        <w:tc>
          <w:tcPr>
            <w:tcW w:w="1800" w:type="dxa"/>
          </w:tcPr>
          <w:p>
            <w:pPr/>
            <w:r>
              <w:rPr>
                <w:sz w:val="20"/>
                <w:szCs w:val="20"/>
              </w:rPr>
              <w:t xml:space="preserve">单元1</w:t>
            </w:r>
          </w:p>
        </w:tc>
        <w:tc>
          <w:tcPr>
            <w:tcW w:w="1800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  <w:tc>
          <w:tcPr>
            <w:tcW w:w="1800" w:type="dxa"/>
          </w:tcPr>
          <w:p>
            <w:pPr/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w="1800" w:type="dxa"/>
          </w:tcPr>
          <w:p>
            <w:pPr/>
            <w:r>
              <w:rPr>
                <w:sz w:val="20"/>
                <w:szCs w:val="20"/>
              </w:rPr>
              <w:t xml:space="preserve">K1,A1,V1</w:t>
            </w:r>
          </w:p>
        </w:tc>
        <w:tc>
          <w:tcPr>
            <w:tcW w:w="1800" w:type="dxa"/>
          </w:tcPr>
          <w:p>
            <w:pPr/>
            <w:r>
              <w:rPr>
                <w:sz w:val="20"/>
                <w:szCs w:val="20"/>
              </w:rPr>
              <w:t xml:space="preserve">工程责任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思政映射　〔思政教师（M3）〕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思政元素</w:t>
            </w:r>
          </w:p>
        </w:tc>
        <w:tc>
          <w:tcPr>
            <w:tcW w:w="225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案例/情境</w:t>
            </w:r>
          </w:p>
        </w:tc>
        <w:tc>
          <w:tcPr>
            <w:tcW w:w="225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专业知识关联</w:t>
            </w:r>
          </w:p>
        </w:tc>
        <w:tc>
          <w:tcPr>
            <w:tcW w:w="225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来源（无则“待核查”）</w:t>
            </w:r>
          </w:p>
        </w:tc>
      </w:tr>
      <w:tr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工程责任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某汽车零件召回案例（来源：待核查）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某汽车零件召回案例（来源：待核查）</w:t>
            </w:r>
          </w:p>
        </w:tc>
      </w:tr>
      <w:tr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诚信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待核查</w:t>
            </w:r>
          </w:p>
        </w:tc>
      </w:tr>
      <w:tr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公共安全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待核查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教学方法　〔教学设计教师（M1）〕</w:t>
      </w:r>
    </w:p>
    <w:p>
      <w:pPr/>
      <w:r>
        <w:rPr/>
        <w:t xml:space="preserve">采用BOPPPS组织教学；课堂活动：【待教师补充】。</w:t>
      </w:r>
    </w:p>
    <w:p>
      <w:pPr>
        <w:pStyle w:val="Heading2"/>
      </w:pPr>
      <w:r>
        <w:rPr/>
        <w:t xml:space="preserve">考核　〔评价专家（M4）〕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考核项</w:t>
            </w:r>
          </w:p>
        </w:tc>
        <w:tc>
          <w:tcPr>
            <w:tcW w:w="225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权重%</w:t>
            </w:r>
          </w:p>
        </w:tc>
        <w:tc>
          <w:tcPr>
            <w:tcW w:w="225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对应目标</w:t>
            </w:r>
          </w:p>
        </w:tc>
        <w:tc>
          <w:tcPr>
            <w:tcW w:w="225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评价标准</w:t>
            </w:r>
          </w:p>
        </w:tc>
      </w:tr>
      <w:tr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平时表现与课堂讨论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A1,V1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</w:tr>
      <w:tr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案例分析报告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A1,V1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</w:tr>
      <w:tr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期末考试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K1,A1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参考材料　〔证据审查教师（M5）〕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材料</w:t>
            </w:r>
          </w:p>
        </w:tc>
        <w:tc>
          <w:tcPr>
            <w:tcW w:w="4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来源（无则“待核查”）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待核查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目标—内容—评价矩阵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目标</w:t>
            </w:r>
          </w:p>
        </w:tc>
        <w:tc>
          <w:tcPr>
            <w:tcW w:w="225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类别</w:t>
            </w:r>
          </w:p>
        </w:tc>
        <w:tc>
          <w:tcPr>
            <w:tcW w:w="225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内容单元</w:t>
            </w:r>
          </w:p>
        </w:tc>
        <w:tc>
          <w:tcPr>
            <w:tcW w:w="225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考核项</w:t>
            </w:r>
          </w:p>
        </w:tc>
      </w:tr>
      <w:tr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知识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单元1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期末考试</w:t>
            </w:r>
          </w:p>
        </w:tc>
      </w:tr>
      <w:tr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能力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单元1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平时表现与课堂讨论、案例分析报告、期末考试</w:t>
            </w:r>
          </w:p>
        </w:tc>
      </w:tr>
      <w:tr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价值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单元1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平时表现与课堂讨论、案例分析报告</w:t>
            </w:r>
          </w:p>
        </w:tc>
      </w:tr>
    </w:tbl>
    <w:p>
      <w:pPr/>
      <w:r>
        <w:rPr/>
        <w:t xml:space="preserve"/>
      </w:r>
    </w:p>
    <w:sectPr>
      <w:pgSz w:w="11906" w:h="16838"/>
      <w:pgMar w:top="1440" w:right="1300" w:bottom="1440" w:left="130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 w:cs="Times New Roman"/>
        <w:sz w:val="22"/>
        <w:szCs w:val="22"/>
        <w:lang w:val="en-US" w:eastAsia="zh-CN"/>
      </w:rPr>
    </w:rPrDefault>
    <w:pPrDefault>
      <w:pPr>
        <w:spacing w:after="80" w:line="32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240"/>
      <w:outlineLvl w:val="0"/>
    </w:pPr>
    <w:rPr>
      <w:rFonts w:eastAsia="黑体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rFonts w:eastAsia="黑体"/>
      <w:b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示例·syllabus</dc:title>
  <dc:creator>演知平台导出</dc:creator>
  <dcterms:created xsi:type="dcterms:W3CDTF">2026-09-23T17:24:31Z</dcterms:created>
</cp:coreProperties>
</file>