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数据一致性差异与闭环报告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TEST-M00-006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0／2026-07-15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闭环目的</w:t>
      </w:r>
    </w:p>
    <w:p>
      <w:pPr>
        <w:ind w:firstLine="420"/>
      </w:pPr>
      <w:r>
        <w:t>本报告将施工图事实、2021年交工事实和2026测试场景事实分域管理，对壁厚、介质、管线范围、无损检测单位及证书时效五类差异逐项闭环。</w:t>
      </w:r>
    </w:p>
    <w:p>
      <w:pPr>
        <w:ind w:firstLine="420"/>
      </w:pPr>
      <w:r>
        <w:t>任何差异均不通过静默覆盖处理；原件保持不变，生成资料按对象、日期和适用范围引用。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一致性原则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设计基线用于解释原图意图；交工记录用于证明实际安装；测试变更仅适用于对应S分册。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低置信OCR只作为待复核提示，不替代原始图像或多文件互证结论。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来源证书只支撑其原有效期内事实，不作为2026测试场景的现行资质。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五类数据差异均已登记来源、适用范围、处理方式和闭环状态；基础项目与条件场景未发生数据串用。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数据差异闭环表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来源事实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适用范围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1814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壁厚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施工图设计基线Φ108×4；2021交工与RT证据PL8303/PL8306为Φ108×5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设计值与实施值分栏使用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不静默覆盖；按对象和资料阶段追溯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已闭环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介质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交工资料确认PL8303/PL8306为丙醇；设计扫描OCR存在丙酮/丙醇低置信差异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交工对象采用丙醇；设计OCR差异保留复核标记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不以低置信OCR替代原图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已闭环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管线范围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施工图范围8条基础管线；交工原件主要覆盖PL8303和PL8306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PL8303-100与PL8306-100作为交工别名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设计范围与交工证据范围分别统计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已闭环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无损检测单位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交工资料登记南京金鑫；具体RT报告由广州声华签发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分别记录汇总登记角色和报告签发角色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两单位不合并、不互相替代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已闭环</w:t>
            </w:r>
          </w:p>
        </w:tc>
      </w:tr>
      <w:tr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证书时效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既有设计、施工、制造和焊工资质均为来源年份证据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只支撑2021来源事实</w:t>
            </w:r>
          </w:p>
        </w:tc>
        <w:tc>
          <w:tcPr>
            <w:tcW w:type="dxa" w:w="181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2026条件场景继续使用TEST前缀资质数据</w:t>
            </w:r>
          </w:p>
        </w:tc>
        <w:tc>
          <w:tcPr>
            <w:tcW w:type="dxa" w:w="1814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已闭环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2026-07-15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工程项目｜M00-DATA-001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数据一致性差异与闭环报告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