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rPr>
          <w:rFonts w:ascii="Calibri" w:hAnsi="Calibri" w:eastAsia="Calibri"/>
          <w:b/>
          <w:color w:val="5B4EE5"/>
          <w:sz w:val="19"/>
        </w:rPr>
        <w:t>OSCANNER-ENG • EVENT PLANNING PROPOSAL</w:t>
      </w:r>
    </w:p>
    <w:p>
      <w:pPr>
        <w:pStyle w:val="Title"/>
        <w:keepNext/>
      </w:pPr>
      <w:r>
        <w:t>Autumn Speaking Challenge 2026</w:t>
      </w:r>
    </w:p>
    <w:p>
      <w:pPr>
        <w:pStyle w:val="Subtitle"/>
        <w:keepNext/>
      </w:pPr>
      <w:r>
        <w:t>A September relaunch plan for /game</w:t>
      </w:r>
    </w:p>
    <w:p>
      <w:pPr>
        <w:spacing w:before="0" w:after="260"/>
        <w:jc w:val="center"/>
      </w:pPr>
      <w:r>
        <w:drawing>
          <wp:inline xmlns:a="http://schemas.openxmlformats.org/drawingml/2006/main" xmlns:pic="http://schemas.openxmlformats.org/drawingml/2006/picture">
            <wp:extent cx="5943600" cy="4440291"/>
            <wp:docPr id="1" name="Picture 1" descr="OScanner-Eng speaking competition artwork with three masked participant figures on podiums and a rising score chart." title="OScanner-Eng speaking competition artwork with three masked participant figures on podiums and a rising score chart."/>
            <wp:cNvGraphicFramePr>
              <a:graphicFrameLocks noChangeAspect="1"/>
            </wp:cNvGraphicFramePr>
            <a:graphic>
              <a:graphicData uri="http://schemas.openxmlformats.org/drawingml/2006/picture">
                <pic:pic>
                  <pic:nvPicPr>
                    <pic:cNvPr id="0" name="weekly-game-keyvisual-landscape.png"/>
                    <pic:cNvPicPr/>
                  </pic:nvPicPr>
                  <pic:blipFill>
                    <a:blip r:embed="rId11"/>
                    <a:stretch>
                      <a:fillRect/>
                    </a:stretch>
                  </pic:blipFill>
                  <pic:spPr>
                    <a:xfrm>
                      <a:off x="0" y="0"/>
                      <a:ext cx="5943600" cy="4440291"/>
                    </a:xfrm>
                    <a:prstGeom prst="rect"/>
                  </pic:spPr>
                </pic:pic>
              </a:graphicData>
            </a:graphic>
          </wp:inline>
        </w:drawing>
      </w:r>
    </w:p>
    <w:p>
      <w:pPr>
        <w:spacing w:after="260"/>
        <w:jc w:val="center"/>
      </w:pPr>
      <w:r>
        <w:rPr>
          <w:rFonts w:ascii="Calibri" w:hAnsi="Calibri" w:eastAsia="Calibri"/>
          <w:b/>
          <w:color w:val="30247A"/>
          <w:sz w:val="23"/>
        </w:rPr>
        <w:t>ONE TOPIC. ONE WEEK. YOUR BEST SCORE COUNTS.</w:t>
      </w:r>
    </w:p>
    <w:tbl>
      <w:tblPr>
        <w:tblW w:type="dxa" w:w="9360"/>
        <w:jc w:val="left"/>
        <w:tblLayout w:type="fixed"/>
        <w:tblLook w:firstColumn="1" w:firstRow="1" w:lastColumn="0" w:lastRow="0" w:noHBand="0" w:noVBand="1" w:val="04A0"/>
        <w:tblInd w:type="dxa" w:w="120"/>
      </w:tblPr>
      <w:tblGrid>
        <w:gridCol w:w="4680"/>
        <w:gridCol w:w="4680"/>
      </w:tblGrid>
      <w:tr>
        <w:trPr>
          <w:tblHeader w:val="true"/>
          <w:cantSplit/>
        </w:trPr>
        <w:tc>
          <w:tcPr>
            <w:tcW w:type="dxa" w:w="4680"/>
            <w:shd w:fill="F8F6FF" w:val="clear"/>
            <w:tcBorders>
              <w:top w:val="single" w:sz="10" w:color="FFFFFF"/>
              <w:left w:val="single" w:sz="10" w:color="FFFFFF"/>
              <w:bottom w:val="single" w:sz="10" w:color="FFFFFF"/>
              <w:right w:val="single" w:sz="10" w:color="FFFFFF"/>
              <w:insideH w:val="single" w:sz="10" w:color="FFFFFF"/>
              <w:insideV w:val="single" w:sz="10" w:color="FFFFFF"/>
            </w:tcBorders>
            <w:vAlign w:val="center"/>
            <w:tcMar>
              <w:top w:w="110" w:type="dxa"/>
              <w:bottom w:w="110" w:type="dxa"/>
              <w:start w:w="120" w:type="dxa"/>
              <w:end w:w="120" w:type="dxa"/>
            </w:tcMar>
          </w:tcPr>
          <w:p>
            <w:pPr>
              <w:spacing w:after="20"/>
              <w:jc w:val="center"/>
            </w:pPr>
            <w:r/>
            <w:r>
              <w:rPr>
                <w:rFonts w:ascii="Calibri" w:hAnsi="Calibri" w:eastAsia="Calibri"/>
                <w:b/>
                <w:color w:val="5B4EE5"/>
                <w:sz w:val="16"/>
              </w:rPr>
              <w:t>CAMPAIGN WINDOW</w:t>
              <w:br/>
            </w:r>
            <w:r>
              <w:rPr>
                <w:rFonts w:ascii="Calibri" w:hAnsi="Calibri" w:eastAsia="Calibri"/>
                <w:b/>
                <w:color w:val="232337"/>
                <w:sz w:val="19"/>
              </w:rPr>
              <w:t>1–30 September 2026</w:t>
            </w:r>
          </w:p>
        </w:tc>
        <w:tc>
          <w:tcPr>
            <w:tcW w:type="dxa" w:w="4680"/>
            <w:shd w:fill="F8F6FF" w:val="clear"/>
            <w:tcBorders>
              <w:top w:val="single" w:sz="10" w:color="FFFFFF"/>
              <w:left w:val="single" w:sz="10" w:color="FFFFFF"/>
              <w:bottom w:val="single" w:sz="10" w:color="FFFFFF"/>
              <w:right w:val="single" w:sz="10" w:color="FFFFFF"/>
              <w:insideH w:val="single" w:sz="10" w:color="FFFFFF"/>
              <w:insideV w:val="single" w:sz="10" w:color="FFFFFF"/>
            </w:tcBorders>
            <w:vAlign w:val="center"/>
            <w:tcMar>
              <w:top w:w="110" w:type="dxa"/>
              <w:bottom w:w="110" w:type="dxa"/>
              <w:start w:w="120" w:type="dxa"/>
              <w:end w:w="120" w:type="dxa"/>
            </w:tcMar>
          </w:tcPr>
          <w:p>
            <w:pPr>
              <w:spacing w:after="20"/>
              <w:jc w:val="center"/>
            </w:pPr>
            <w:r/>
            <w:r>
              <w:rPr>
                <w:rFonts w:ascii="Calibri" w:hAnsi="Calibri" w:eastAsia="Calibri"/>
                <w:b/>
                <w:color w:val="5B4EE5"/>
                <w:sz w:val="16"/>
              </w:rPr>
              <w:t>PLANNING BASIS</w:t>
              <w:br/>
            </w:r>
            <w:r>
              <w:rPr>
                <w:rFonts w:ascii="Calibri" w:hAnsi="Calibri" w:eastAsia="Calibri"/>
                <w:b/>
                <w:color w:val="232337"/>
                <w:sz w:val="19"/>
              </w:rPr>
              <w:t>Meeting of 29 July 2026</w:t>
            </w:r>
          </w:p>
        </w:tc>
      </w:tr>
      <w:tr>
        <w:trPr>
          <w:cantSplit/>
        </w:trPr>
        <w:tc>
          <w:tcPr>
            <w:tcW w:type="dxa" w:w="4680"/>
            <w:shd w:fill="F4F5F8" w:val="clear"/>
            <w:tcBorders>
              <w:top w:val="single" w:sz="10" w:color="FFFFFF"/>
              <w:left w:val="single" w:sz="10" w:color="FFFFFF"/>
              <w:bottom w:val="single" w:sz="10" w:color="FFFFFF"/>
              <w:right w:val="single" w:sz="10" w:color="FFFFFF"/>
              <w:insideH w:val="single" w:sz="10" w:color="FFFFFF"/>
              <w:insideV w:val="single" w:sz="10" w:color="FFFFFF"/>
            </w:tcBorders>
            <w:vAlign w:val="center"/>
            <w:tcMar>
              <w:top w:w="110" w:type="dxa"/>
              <w:bottom w:w="110" w:type="dxa"/>
              <w:start w:w="120" w:type="dxa"/>
              <w:end w:w="120" w:type="dxa"/>
            </w:tcMar>
          </w:tcPr>
          <w:p>
            <w:pPr>
              <w:spacing w:after="20"/>
              <w:jc w:val="center"/>
            </w:pPr>
            <w:r/>
            <w:r>
              <w:rPr>
                <w:rFonts w:ascii="Calibri" w:hAnsi="Calibri" w:eastAsia="Calibri"/>
                <w:b/>
                <w:color w:val="5B4EE5"/>
                <w:sz w:val="16"/>
              </w:rPr>
              <w:t>PREPARED FOR</w:t>
              <w:br/>
            </w:r>
            <w:r>
              <w:rPr>
                <w:rFonts w:ascii="Calibri" w:hAnsi="Calibri" w:eastAsia="Calibri"/>
                <w:b/>
                <w:color w:val="232337"/>
                <w:sz w:val="19"/>
              </w:rPr>
              <w:t>English Club &amp; OScanner-Eng team</w:t>
            </w:r>
          </w:p>
        </w:tc>
        <w:tc>
          <w:tcPr>
            <w:tcW w:type="dxa" w:w="4680"/>
            <w:shd w:fill="F4F5F8" w:val="clear"/>
            <w:tcBorders>
              <w:top w:val="single" w:sz="10" w:color="FFFFFF"/>
              <w:left w:val="single" w:sz="10" w:color="FFFFFF"/>
              <w:bottom w:val="single" w:sz="10" w:color="FFFFFF"/>
              <w:right w:val="single" w:sz="10" w:color="FFFFFF"/>
              <w:insideH w:val="single" w:sz="10" w:color="FFFFFF"/>
              <w:insideV w:val="single" w:sz="10" w:color="FFFFFF"/>
            </w:tcBorders>
            <w:vAlign w:val="center"/>
            <w:tcMar>
              <w:top w:w="110" w:type="dxa"/>
              <w:bottom w:w="110" w:type="dxa"/>
              <w:start w:w="120" w:type="dxa"/>
              <w:end w:w="120" w:type="dxa"/>
            </w:tcMar>
          </w:tcPr>
          <w:p>
            <w:pPr>
              <w:spacing w:after="20"/>
              <w:jc w:val="center"/>
            </w:pPr>
            <w:r/>
            <w:r>
              <w:rPr>
                <w:rFonts w:ascii="Calibri" w:hAnsi="Calibri" w:eastAsia="Calibri"/>
                <w:b/>
                <w:color w:val="5B4EE5"/>
                <w:sz w:val="16"/>
              </w:rPr>
              <w:t>STATUS</w:t>
              <w:br/>
            </w:r>
            <w:r>
              <w:rPr>
                <w:rFonts w:ascii="Calibri" w:hAnsi="Calibri" w:eastAsia="Calibri"/>
                <w:b/>
                <w:color w:val="232337"/>
                <w:sz w:val="19"/>
              </w:rPr>
              <w:t>Implementation proposal • v1.0</w:t>
            </w:r>
          </w:p>
        </w:tc>
      </w:tr>
    </w:tbl>
    <w:p>
      <w:r>
        <w:br w:type="page"/>
      </w:r>
    </w:p>
    <w:p>
      <w:pPr>
        <w:spacing w:before="0" w:after="140"/>
        <w:jc w:val="left"/>
        <w:keepNext/>
      </w:pPr>
      <w:r>
        <w:rPr>
          <w:rFonts w:ascii="Calibri" w:hAnsi="Calibri" w:eastAsia="Calibri"/>
          <w:b/>
          <w:caps/>
          <w:color w:val="5B4EE5"/>
          <w:sz w:val="19"/>
        </w:rPr>
        <w:t>SECTION 01</w:t>
      </w:r>
    </w:p>
    <w:p>
      <w:pPr>
        <w:pStyle w:val="Heading1"/>
        <w:spacing w:before="0"/>
      </w:pPr>
      <w:r>
        <w:t>Executive overview</w:t>
      </w:r>
    </w:p>
    <w:p>
      <w:pPr>
        <w:spacing w:before="0" w:after="240" w:line="300" w:lineRule="auto"/>
      </w:pPr>
      <w:r>
        <w:rPr>
          <w:rFonts w:ascii="Calibri" w:hAnsi="Calibri" w:eastAsia="Calibri"/>
          <w:b/>
          <w:color w:val="30247A"/>
          <w:sz w:val="26"/>
        </w:rPr>
        <w:t>Move the competition out of the summer lull and concentrate attention, prizes, and promotion into a visible September campaign.</w:t>
      </w:r>
    </w:p>
    <w:p>
      <w:pPr>
        <w:spacing w:before="100" w:after="220" w:line="283" w:lineRule="auto"/>
        <w:ind w:left="115" w:right="115"/>
        <w:shd w:fill="F2EFFF" w:val="clear"/>
        <w:pBdr>
          <w:top w:val="single" w:sz="12" w:space="8" w:color="F2EFFF"/>
          <w:left w:val="single" w:sz="12" w:space="8" w:color="F2EFFF"/>
          <w:bottom w:val="single" w:sz="12" w:space="8" w:color="F2EFFF"/>
          <w:right w:val="single" w:sz="12" w:space="8" w:color="F2EFFF"/>
        </w:pBdr>
      </w:pPr>
      <w:r>
        <w:rPr>
          <w:rFonts w:ascii="Calibri" w:hAnsi="Calibri" w:eastAsia="Calibri"/>
          <w:b/>
          <w:color w:val="30247A"/>
          <w:sz w:val="18"/>
        </w:rPr>
        <w:t xml:space="preserve">RECOMMENDATION  </w:t>
      </w:r>
      <w:r>
        <w:rPr>
          <w:rFonts w:ascii="Calibri" w:hAnsi="Calibri" w:eastAsia="Calibri"/>
          <w:color w:val="232337"/>
          <w:sz w:val="20"/>
        </w:rPr>
        <w:t>Run four full weekly rounds through the existing /game experience, promote them as one September season, and recognize the final top five without exceeding the ¥1,000 funded prize allocation.</w:t>
      </w:r>
    </w:p>
    <w:p>
      <w:pPr>
        <w:pStyle w:val="Heading2"/>
      </w:pPr>
      <w:r>
        <w:t>Why this plan</w:t>
      </w:r>
    </w:p>
    <w:p>
      <w:pPr>
        <w:numPr>
          <w:ilvl w:val="0"/>
          <w:numId w:val="10"/>
        </w:numPr>
        <w:spacing w:after="80" w:line="290" w:lineRule="auto"/>
      </w:pPr>
      <w:r>
        <w:rPr>
          <w:rFonts w:ascii="Calibri" w:hAnsi="Calibri" w:eastAsia="Calibri"/>
          <w:b/>
          <w:color w:val="232337"/>
        </w:rPr>
        <w:t>Timing:</w:t>
      </w:r>
      <w:r>
        <w:rPr>
          <w:rFonts w:ascii="Calibri" w:hAnsi="Calibri" w:eastAsia="Calibri"/>
          <w:color w:val="232337"/>
        </w:rPr>
        <w:t xml:space="preserve"> fewer than ten people have participated recently, and late-July/early-August campus departures make a broad summer campaign inefficient.</w:t>
      </w:r>
    </w:p>
    <w:p>
      <w:pPr>
        <w:numPr>
          <w:ilvl w:val="0"/>
          <w:numId w:val="10"/>
        </w:numPr>
        <w:spacing w:after="80" w:line="290" w:lineRule="auto"/>
      </w:pPr>
      <w:r>
        <w:rPr>
          <w:rFonts w:ascii="Calibri" w:hAnsi="Calibri" w:eastAsia="Calibri"/>
          <w:b/>
          <w:color w:val="232337"/>
        </w:rPr>
        <w:t>Audience opportunity:</w:t>
      </w:r>
      <w:r>
        <w:rPr>
          <w:rFonts w:ascii="Calibri" w:hAnsi="Calibri" w:eastAsia="Calibri"/>
          <w:color w:val="232337"/>
        </w:rPr>
        <w:t xml:space="preserve"> September brings returning students and new-student enrollment, creating the strongest recruitment moment for the English Club.</w:t>
      </w:r>
    </w:p>
    <w:p>
      <w:pPr>
        <w:numPr>
          <w:ilvl w:val="0"/>
          <w:numId w:val="10"/>
        </w:numPr>
        <w:spacing w:after="80" w:line="290" w:lineRule="auto"/>
      </w:pPr>
      <w:r>
        <w:rPr>
          <w:rFonts w:ascii="Calibri" w:hAnsi="Calibri" w:eastAsia="Calibri"/>
          <w:b/>
          <w:color w:val="232337"/>
        </w:rPr>
        <w:t>Platform readiness:</w:t>
      </w:r>
      <w:r>
        <w:rPr>
          <w:rFonts w:ascii="Calibri" w:hAnsi="Calibri" w:eastAsia="Calibri"/>
          <w:color w:val="232337"/>
        </w:rPr>
        <w:t xml:space="preserve"> /game already supports one shared weekly topic, two-minute preparation and recording, unlimited attempts, AI evaluation, aliases, and a best-score leaderboard.</w:t>
      </w:r>
    </w:p>
    <w:p>
      <w:pPr>
        <w:numPr>
          <w:ilvl w:val="0"/>
          <w:numId w:val="10"/>
        </w:numPr>
        <w:spacing w:after="80" w:line="290" w:lineRule="auto"/>
      </w:pPr>
      <w:r>
        <w:rPr>
          <w:rFonts w:ascii="Calibri" w:hAnsi="Calibri" w:eastAsia="Calibri"/>
          <w:b/>
          <w:color w:val="232337"/>
        </w:rPr>
        <w:t>Budget discipline:</w:t>
      </w:r>
      <w:r>
        <w:rPr>
          <w:rFonts w:ascii="Calibri" w:hAnsi="Calibri" w:eastAsia="Calibri"/>
          <w:color w:val="232337"/>
        </w:rPr>
        <w:t xml:space="preserve"> use ¥1,000 for funded prize packages and reserve the balance of the annual ¥2,000 activity budget for later programs.</w:t>
      </w:r>
    </w:p>
    <w:p>
      <w:pPr>
        <w:pStyle w:val="Heading2"/>
      </w:pPr>
      <w:r>
        <w:t>Campaign objectives</w:t>
      </w:r>
    </w:p>
    <w:tbl>
      <w:tblPr>
        <w:tblStyle w:val="TableGrid"/>
        <w:tblW w:type="dxa" w:w="9360"/>
        <w:jc w:val="left"/>
        <w:tblLayout w:type="fixed"/>
        <w:tblLook w:firstColumn="1" w:firstRow="1" w:lastColumn="0" w:lastRow="0" w:noHBand="0" w:noVBand="1" w:val="04A0"/>
        <w:tblInd w:type="dxa" w:w="120"/>
      </w:tblPr>
      <w:tblGrid>
        <w:gridCol w:w="2000"/>
        <w:gridCol w:w="2750"/>
        <w:gridCol w:w="4610"/>
      </w:tblGrid>
      <w:tr>
        <w:trPr>
          <w:tblHeader w:val="true"/>
          <w:cantSplit/>
        </w:trPr>
        <w:tc>
          <w:tcPr>
            <w:tcW w:type="dxa" w:w="200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Objective</w:t>
            </w:r>
          </w:p>
        </w:tc>
        <w:tc>
          <w:tcPr>
            <w:tcW w:type="dxa" w:w="275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Proposed September target</w:t>
            </w:r>
          </w:p>
        </w:tc>
        <w:tc>
          <w:tcPr>
            <w:tcW w:type="dxa" w:w="461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How it will be measured</w:t>
            </w:r>
          </w:p>
        </w:tc>
      </w:tr>
      <w:tr>
        <w:trPr>
          <w:cantSplit/>
        </w:trPr>
        <w:tc>
          <w:tcPr>
            <w:tcW w:type="dxa" w:w="20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Reach</w:t>
            </w:r>
          </w:p>
        </w:tc>
        <w:tc>
          <w:tcPr>
            <w:tcW w:type="dxa" w:w="27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50 unique authenticated participants</w:t>
            </w:r>
          </w:p>
        </w:tc>
        <w:tc>
          <w:tcPr>
            <w:tcW w:type="dxa" w:w="461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Distinct DingTalk openId values with a completed evaluation</w:t>
            </w:r>
          </w:p>
        </w:tc>
      </w:tr>
      <w:tr>
        <w:trPr>
          <w:cantSplit/>
        </w:trPr>
        <w:tc>
          <w:tcPr>
            <w:tcW w:type="dxa" w:w="20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Practice</w:t>
            </w:r>
          </w:p>
        </w:tc>
        <w:tc>
          <w:tcPr>
            <w:tcW w:type="dxa" w:w="27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150 completed evaluated attempts</w:t>
            </w:r>
          </w:p>
        </w:tc>
        <w:tc>
          <w:tcPr>
            <w:tcW w:type="dxa" w:w="461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Saved /game attempts with evaluation status “completed”</w:t>
            </w:r>
          </w:p>
        </w:tc>
      </w:tr>
      <w:tr>
        <w:trPr>
          <w:cantSplit/>
        </w:trPr>
        <w:tc>
          <w:tcPr>
            <w:tcW w:type="dxa" w:w="20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Repeat use</w:t>
            </w:r>
          </w:p>
        </w:tc>
        <w:tc>
          <w:tcPr>
            <w:tcW w:type="dxa" w:w="27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At least 40% of participants try more than once</w:t>
            </w:r>
          </w:p>
        </w:tc>
        <w:tc>
          <w:tcPr>
            <w:tcW w:type="dxa" w:w="461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Attempt count per participant</w:t>
            </w:r>
          </w:p>
        </w:tc>
      </w:tr>
      <w:tr>
        <w:trPr>
          <w:cantSplit/>
        </w:trPr>
        <w:tc>
          <w:tcPr>
            <w:tcW w:type="dxa" w:w="20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Reliability</w:t>
            </w:r>
          </w:p>
        </w:tc>
        <w:tc>
          <w:tcPr>
            <w:tcW w:type="dxa" w:w="27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At least 90% evaluation completion rate</w:t>
            </w:r>
          </w:p>
        </w:tc>
        <w:tc>
          <w:tcPr>
            <w:tcW w:type="dxa" w:w="461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Completed evaluations ÷ saved eligible recordings</w:t>
            </w:r>
          </w:p>
        </w:tc>
      </w:tr>
      <w:tr>
        <w:trPr>
          <w:cantSplit/>
        </w:trPr>
        <w:tc>
          <w:tcPr>
            <w:tcW w:type="dxa" w:w="20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Retention</w:t>
            </w:r>
          </w:p>
        </w:tc>
        <w:tc>
          <w:tcPr>
            <w:tcW w:type="dxa" w:w="27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At least 30% return in October</w:t>
            </w:r>
          </w:p>
        </w:tc>
        <w:tc>
          <w:tcPr>
            <w:tcW w:type="dxa" w:w="461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September participants completing a later challenge</w:t>
            </w:r>
          </w:p>
        </w:tc>
      </w:tr>
    </w:tbl>
    <w:p>
      <w:pPr>
        <w:spacing w:before="0" w:after="40" w:line="240" w:lineRule="auto"/>
      </w:pPr>
    </w:p>
    <w:p>
      <w:pPr>
        <w:spacing w:before="100" w:after="220" w:line="283" w:lineRule="auto"/>
        <w:ind w:left="115" w:right="115"/>
        <w:shd w:fill="FFF4D6" w:val="clear"/>
        <w:pBdr>
          <w:top w:val="single" w:sz="12" w:space="8" w:color="FFF4D6"/>
          <w:left w:val="single" w:sz="12" w:space="8" w:color="FFF4D6"/>
          <w:bottom w:val="single" w:sz="12" w:space="8" w:color="FFF4D6"/>
          <w:right w:val="single" w:sz="12" w:space="8" w:color="FFF4D6"/>
        </w:pBdr>
      </w:pPr>
      <w:r>
        <w:rPr>
          <w:rFonts w:ascii="Calibri" w:hAnsi="Calibri" w:eastAsia="Calibri"/>
          <w:b/>
          <w:color w:val="B27B00"/>
          <w:sz w:val="18"/>
        </w:rPr>
        <w:t xml:space="preserve">TARGET NOTE  </w:t>
      </w:r>
      <w:r>
        <w:rPr>
          <w:rFonts w:ascii="Calibri" w:hAnsi="Calibri" w:eastAsia="Calibri"/>
          <w:color w:val="232337"/>
          <w:sz w:val="20"/>
        </w:rPr>
        <w:t>These are working targets, not approved commitments. Re-baseline them after the first full round using actual conversion and repeat-attempt data.</w:t>
      </w:r>
    </w:p>
    <w:p>
      <w:pPr>
        <w:spacing w:before="0" w:after="140"/>
        <w:jc w:val="left"/>
        <w:keepNext/>
      </w:pPr>
      <w:r>
        <w:rPr>
          <w:rFonts w:ascii="Calibri" w:hAnsi="Calibri" w:eastAsia="Calibri"/>
          <w:b/>
          <w:caps/>
          <w:color w:val="5B4EE5"/>
          <w:sz w:val="19"/>
        </w:rPr>
        <w:t>SECTION 02</w:t>
      </w:r>
    </w:p>
    <w:p>
      <w:pPr>
        <w:pStyle w:val="Heading1"/>
        <w:spacing w:before="0"/>
      </w:pPr>
      <w:r>
        <w:t>Campaign strategy and participant experience</w:t>
      </w:r>
    </w:p>
    <w:p>
      <w:pPr>
        <w:spacing w:before="0" w:after="240" w:line="300" w:lineRule="auto"/>
      </w:pPr>
      <w:r>
        <w:rPr>
          <w:rFonts w:ascii="Calibri" w:hAnsi="Calibri" w:eastAsia="Calibri"/>
          <w:b/>
          <w:color w:val="30247A"/>
          <w:sz w:val="26"/>
        </w:rPr>
        <w:t>Position the event as a friendly, repeatable learning challenge: low pressure to enter, meaningful feedback after every attempt, and visible recognition for improvement.</w:t>
      </w:r>
    </w:p>
    <w:p>
      <w:pPr>
        <w:pStyle w:val="Heading2"/>
      </w:pPr>
      <w:r>
        <w:t>Audience and promise</w:t>
      </w:r>
    </w:p>
    <w:p>
      <w:pPr>
        <w:numPr>
          <w:ilvl w:val="0"/>
          <w:numId w:val="10"/>
        </w:numPr>
        <w:spacing w:after="80" w:line="290" w:lineRule="auto"/>
      </w:pPr>
      <w:r>
        <w:rPr>
          <w:rFonts w:ascii="Calibri" w:hAnsi="Calibri" w:eastAsia="Calibri"/>
          <w:b/>
          <w:color w:val="232337"/>
        </w:rPr>
        <w:t>Primary audience:</w:t>
      </w:r>
      <w:r>
        <w:rPr>
          <w:rFonts w:ascii="Calibri" w:hAnsi="Calibri" w:eastAsia="Calibri"/>
          <w:color w:val="232337"/>
        </w:rPr>
        <w:t xml:space="preserve"> new and returning students who want a short, practical English-speaking activity.</w:t>
      </w:r>
    </w:p>
    <w:p>
      <w:pPr>
        <w:numPr>
          <w:ilvl w:val="0"/>
          <w:numId w:val="10"/>
        </w:numPr>
        <w:spacing w:after="80" w:line="290" w:lineRule="auto"/>
      </w:pPr>
      <w:r>
        <w:rPr>
          <w:rFonts w:ascii="Calibri" w:hAnsi="Calibri" w:eastAsia="Calibri"/>
          <w:b/>
          <w:color w:val="232337"/>
        </w:rPr>
        <w:t>Secondary audience:</w:t>
      </w:r>
      <w:r>
        <w:rPr>
          <w:rFonts w:ascii="Calibri" w:hAnsi="Calibri" w:eastAsia="Calibri"/>
          <w:color w:val="232337"/>
        </w:rPr>
        <w:t xml:space="preserve"> staff, club members, and peers who can model participation and amplify the campaign.</w:t>
      </w:r>
    </w:p>
    <w:p>
      <w:pPr>
        <w:numPr>
          <w:ilvl w:val="0"/>
          <w:numId w:val="10"/>
        </w:numPr>
        <w:spacing w:after="80" w:line="290" w:lineRule="auto"/>
      </w:pPr>
      <w:r>
        <w:rPr>
          <w:rFonts w:ascii="Calibri" w:hAnsi="Calibri" w:eastAsia="Calibri"/>
          <w:b/>
          <w:color w:val="232337"/>
        </w:rPr>
        <w:t>Core promise:</w:t>
      </w:r>
      <w:r>
        <w:rPr>
          <w:rFonts w:ascii="Calibri" w:hAnsi="Calibri" w:eastAsia="Calibri"/>
          <w:color w:val="232337"/>
        </w:rPr>
        <w:t xml:space="preserve"> one everyday topic, one two-minute answer, immediate coaching, and a fair chance to improve throughout the week.</w:t>
      </w:r>
    </w:p>
    <w:p>
      <w:pPr>
        <w:pStyle w:val="Heading2"/>
      </w:pPr>
      <w:r>
        <w:t>Participant journey</w:t>
      </w:r>
    </w:p>
    <w:p>
      <w:pPr>
        <w:numPr>
          <w:ilvl w:val="0"/>
          <w:numId w:val="11"/>
        </w:numPr>
        <w:spacing w:after="80" w:line="290" w:lineRule="auto"/>
      </w:pPr>
      <w:r>
        <w:rPr>
          <w:rFonts w:ascii="Calibri" w:hAnsi="Calibri" w:eastAsia="Calibri"/>
          <w:color w:val="232337"/>
        </w:rPr>
        <w:t>Discover the campaign through elevator screens, bulletin boards, club channels, or a QR code.</w:t>
      </w:r>
    </w:p>
    <w:p>
      <w:pPr>
        <w:numPr>
          <w:ilvl w:val="0"/>
          <w:numId w:val="11"/>
        </w:numPr>
        <w:spacing w:after="80" w:line="290" w:lineRule="auto"/>
      </w:pPr>
      <w:r>
        <w:rPr>
          <w:rFonts w:ascii="Calibri" w:hAnsi="Calibri" w:eastAsia="Calibri"/>
          <w:color w:val="232337"/>
        </w:rPr>
        <w:t>Sign in with DingTalk, accept the current privacy terms, and choose an actual name or leaderboard alias.</w:t>
      </w:r>
    </w:p>
    <w:p>
      <w:pPr>
        <w:numPr>
          <w:ilvl w:val="0"/>
          <w:numId w:val="11"/>
        </w:numPr>
        <w:spacing w:after="80" w:line="290" w:lineRule="auto"/>
      </w:pPr>
      <w:r>
        <w:rPr>
          <w:rFonts w:ascii="Calibri" w:hAnsi="Calibri" w:eastAsia="Calibri"/>
          <w:color w:val="232337"/>
        </w:rPr>
        <w:t>Open /game, review the fixed weekly topic, and confirm camera and microphone access.</w:t>
      </w:r>
    </w:p>
    <w:p>
      <w:pPr>
        <w:numPr>
          <w:ilvl w:val="0"/>
          <w:numId w:val="11"/>
        </w:numPr>
        <w:spacing w:after="80" w:line="290" w:lineRule="auto"/>
      </w:pPr>
      <w:r>
        <w:rPr>
          <w:rFonts w:ascii="Calibri" w:hAnsi="Calibri" w:eastAsia="Calibri"/>
          <w:color w:val="232337"/>
        </w:rPr>
        <w:t>Use the two-minute private preparation countdown, then record a continuous answer of up to two minutes.</w:t>
      </w:r>
    </w:p>
    <w:p>
      <w:pPr>
        <w:numPr>
          <w:ilvl w:val="0"/>
          <w:numId w:val="11"/>
        </w:numPr>
        <w:spacing w:after="80" w:line="290" w:lineRule="auto"/>
      </w:pPr>
      <w:r>
        <w:rPr>
          <w:rFonts w:ascii="Calibri" w:hAnsi="Calibri" w:eastAsia="Calibri"/>
          <w:color w:val="232337"/>
        </w:rPr>
        <w:t>Receive a structured AI evaluation, review strengths and improvements, and decide whether to try again.</w:t>
      </w:r>
    </w:p>
    <w:p>
      <w:pPr>
        <w:numPr>
          <w:ilvl w:val="0"/>
          <w:numId w:val="11"/>
        </w:numPr>
        <w:spacing w:after="80" w:line="290" w:lineRule="auto"/>
      </w:pPr>
      <w:r>
        <w:rPr>
          <w:rFonts w:ascii="Calibri" w:hAnsi="Calibri" w:eastAsia="Calibri"/>
          <w:color w:val="232337"/>
        </w:rPr>
        <w:t>Enter the weekly leaderboard automatically; only the participant’s best completed score counts.</w:t>
      </w:r>
    </w:p>
    <w:p>
      <w:pPr>
        <w:pStyle w:val="Heading2"/>
      </w:pPr>
      <w:r>
        <w:t>Experience principles</w:t>
      </w:r>
    </w:p>
    <w:tbl>
      <w:tblPr>
        <w:tblStyle w:val="TableGrid"/>
        <w:tblW w:type="dxa" w:w="9360"/>
        <w:jc w:val="left"/>
        <w:tblLayout w:type="fixed"/>
        <w:tblLook w:firstColumn="1" w:firstRow="1" w:lastColumn="0" w:lastRow="0" w:noHBand="0" w:noVBand="1" w:val="04A0"/>
        <w:tblInd w:type="dxa" w:w="120"/>
      </w:tblPr>
      <w:tblGrid>
        <w:gridCol w:w="2300"/>
        <w:gridCol w:w="7060"/>
      </w:tblGrid>
      <w:tr>
        <w:trPr>
          <w:tblHeader w:val="true"/>
          <w:cantSplit/>
        </w:trPr>
        <w:tc>
          <w:tcPr>
            <w:tcW w:type="dxa" w:w="230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Principle</w:t>
            </w:r>
          </w:p>
        </w:tc>
        <w:tc>
          <w:tcPr>
            <w:tcW w:type="dxa" w:w="706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Operational expression</w:t>
            </w:r>
          </w:p>
        </w:tc>
      </w:tr>
      <w:tr>
        <w:trPr>
          <w:cantSplit/>
        </w:trPr>
        <w:tc>
          <w:tcPr>
            <w:tcW w:type="dxa" w:w="23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8"/>
              </w:rPr>
              <w:t>Practice first</w:t>
            </w:r>
          </w:p>
        </w:tc>
        <w:tc>
          <w:tcPr>
            <w:tcW w:type="dxa" w:w="706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8"/>
              </w:rPr>
              <w:t>Unlimited attempts; the event rewards learning through repetition, not one-shot performance.</w:t>
            </w:r>
          </w:p>
        </w:tc>
      </w:tr>
      <w:tr>
        <w:trPr>
          <w:cantSplit/>
        </w:trPr>
        <w:tc>
          <w:tcPr>
            <w:tcW w:type="dxa" w:w="23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8"/>
              </w:rPr>
              <w:t>Comparable</w:t>
            </w:r>
          </w:p>
        </w:tc>
        <w:tc>
          <w:tcPr>
            <w:tcW w:type="dxa" w:w="706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8"/>
              </w:rPr>
              <w:t>Every participant answers the same question during the same weekly round.</w:t>
            </w:r>
          </w:p>
        </w:tc>
      </w:tr>
      <w:tr>
        <w:trPr>
          <w:cantSplit/>
        </w:trPr>
        <w:tc>
          <w:tcPr>
            <w:tcW w:type="dxa" w:w="23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8"/>
              </w:rPr>
              <w:t>Private by default</w:t>
            </w:r>
          </w:p>
        </w:tc>
        <w:tc>
          <w:tcPr>
            <w:tcW w:type="dxa" w:w="706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8"/>
              </w:rPr>
              <w:t>Recordings and history remain owner-filtered; only the chosen name and score appear on the leaderboard.</w:t>
            </w:r>
          </w:p>
        </w:tc>
      </w:tr>
      <w:tr>
        <w:trPr>
          <w:cantSplit/>
        </w:trPr>
        <w:tc>
          <w:tcPr>
            <w:tcW w:type="dxa" w:w="23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8"/>
              </w:rPr>
              <w:t>Inclusive</w:t>
            </w:r>
          </w:p>
        </w:tc>
        <w:tc>
          <w:tcPr>
            <w:tcW w:type="dxa" w:w="706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8"/>
              </w:rPr>
              <w:t>Actual-name and alias modes are both supported; top-five recognition extends beyond the podium.</w:t>
            </w:r>
          </w:p>
        </w:tc>
      </w:tr>
      <w:tr>
        <w:trPr>
          <w:cantSplit/>
        </w:trPr>
        <w:tc>
          <w:tcPr>
            <w:tcW w:type="dxa" w:w="23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8"/>
              </w:rPr>
              <w:t>Clear and short</w:t>
            </w:r>
          </w:p>
        </w:tc>
        <w:tc>
          <w:tcPr>
            <w:tcW w:type="dxa" w:w="706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8"/>
              </w:rPr>
              <w:t>The full entry flow is designed around two minutes of preparation and up to two minutes of speaking.</w:t>
            </w:r>
          </w:p>
        </w:tc>
      </w:tr>
    </w:tbl>
    <w:p>
      <w:pPr>
        <w:spacing w:before="0" w:after="40" w:line="240" w:lineRule="auto"/>
      </w:pPr>
    </w:p>
    <w:p>
      <w:pPr>
        <w:spacing w:before="100" w:after="220" w:line="283" w:lineRule="auto"/>
        <w:ind w:left="115" w:right="115"/>
        <w:shd w:fill="EAF8F2" w:val="clear"/>
        <w:pBdr>
          <w:top w:val="single" w:sz="12" w:space="8" w:color="EAF8F2"/>
          <w:left w:val="single" w:sz="12" w:space="8" w:color="EAF8F2"/>
          <w:bottom w:val="single" w:sz="12" w:space="8" w:color="EAF8F2"/>
          <w:right w:val="single" w:sz="12" w:space="8" w:color="EAF8F2"/>
        </w:pBdr>
      </w:pPr>
      <w:r>
        <w:rPr>
          <w:rFonts w:ascii="Calibri" w:hAnsi="Calibri" w:eastAsia="Calibri"/>
          <w:b/>
          <w:color w:val="30247A"/>
          <w:sz w:val="18"/>
        </w:rPr>
        <w:t xml:space="preserve">FUTURE EXPERIENCE ENHANCEMENT  </w:t>
      </w:r>
      <w:r>
        <w:rPr>
          <w:rFonts w:ascii="Calibri" w:hAnsi="Calibri" w:eastAsia="Calibri"/>
          <w:color w:val="232337"/>
          <w:sz w:val="20"/>
        </w:rPr>
        <w:t>Prototype an optional virtual conversation partner after the September launch. It should be a selectable mode, not a dependency for the core competition, so the first campaign stays reliable and easy to operate.</w:t>
      </w:r>
    </w:p>
    <w:p>
      <w:pPr>
        <w:spacing w:before="0" w:after="140"/>
        <w:jc w:val="left"/>
        <w:keepNext/>
      </w:pPr>
      <w:r>
        <w:rPr>
          <w:rFonts w:ascii="Calibri" w:hAnsi="Calibri" w:eastAsia="Calibri"/>
          <w:b/>
          <w:caps/>
          <w:color w:val="5B4EE5"/>
          <w:sz w:val="19"/>
        </w:rPr>
        <w:t>SECTION 03</w:t>
      </w:r>
    </w:p>
    <w:p>
      <w:pPr>
        <w:pStyle w:val="Heading1"/>
        <w:spacing w:before="0"/>
      </w:pPr>
      <w:r>
        <w:t>Competition format and rules</w:t>
      </w:r>
    </w:p>
    <w:p>
      <w:pPr>
        <w:spacing w:before="0" w:after="240" w:line="300" w:lineRule="auto"/>
      </w:pPr>
      <w:r>
        <w:rPr>
          <w:rFonts w:ascii="Calibri" w:hAnsi="Calibri" w:eastAsia="Calibri"/>
          <w:b/>
          <w:color w:val="30247A"/>
          <w:sz w:val="26"/>
        </w:rPr>
        <w:t>Treat September as one season made up of four complete weekly rounds, using the platform’s existing Wednesday-to-Wednesday challenge cycle.</w:t>
      </w:r>
    </w:p>
    <w:p>
      <w:pPr>
        <w:pStyle w:val="Heading2"/>
      </w:pPr>
      <w:r>
        <w:t>September season calendar</w:t>
      </w:r>
    </w:p>
    <w:tbl>
      <w:tblPr>
        <w:tblStyle w:val="TableGrid"/>
        <w:tblW w:type="dxa" w:w="9360"/>
        <w:jc w:val="left"/>
        <w:tblLayout w:type="fixed"/>
        <w:tblLook w:firstColumn="1" w:firstRow="1" w:lastColumn="0" w:lastRow="0" w:noHBand="0" w:noVBand="1" w:val="04A0"/>
        <w:tblInd w:type="dxa" w:w="120"/>
      </w:tblPr>
      <w:tblGrid>
        <w:gridCol w:w="1450"/>
        <w:gridCol w:w="1450"/>
        <w:gridCol w:w="3550"/>
        <w:gridCol w:w="2910"/>
      </w:tblGrid>
      <w:tr>
        <w:trPr>
          <w:tblHeader w:val="true"/>
          <w:cantSplit/>
        </w:trPr>
        <w:tc>
          <w:tcPr>
            <w:tcW w:type="dxa" w:w="145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Phase</w:t>
            </w:r>
          </w:p>
        </w:tc>
        <w:tc>
          <w:tcPr>
            <w:tcW w:type="dxa" w:w="145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Dates</w:t>
            </w:r>
          </w:p>
        </w:tc>
        <w:tc>
          <w:tcPr>
            <w:tcW w:type="dxa" w:w="355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Topic / activity</w:t>
            </w:r>
          </w:p>
        </w:tc>
        <w:tc>
          <w:tcPr>
            <w:tcW w:type="dxa" w:w="291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Primary outcome</w:t>
            </w:r>
          </w:p>
        </w:tc>
      </w:tr>
      <w:tr>
        <w:trPr>
          <w:cantSplit/>
        </w:trPr>
        <w:tc>
          <w:tcPr>
            <w:tcW w:type="dxa" w:w="14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Launch day</w:t>
            </w:r>
          </w:p>
        </w:tc>
        <w:tc>
          <w:tcPr>
            <w:tcW w:type="dxa" w:w="14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7"/>
              </w:rPr>
              <w:t>1 Sep</w:t>
            </w:r>
          </w:p>
        </w:tc>
        <w:tc>
          <w:tcPr>
            <w:tcW w:type="dxa" w:w="35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Orientation, QR promotion, /examine device check, and demonstration</w:t>
            </w:r>
          </w:p>
        </w:tc>
        <w:tc>
          <w:tcPr>
            <w:tcW w:type="dxa" w:w="291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Build awareness before Round 1</w:t>
            </w:r>
          </w:p>
        </w:tc>
      </w:tr>
      <w:tr>
        <w:trPr>
          <w:cantSplit/>
        </w:trPr>
        <w:tc>
          <w:tcPr>
            <w:tcW w:type="dxa" w:w="14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Round 1</w:t>
            </w:r>
          </w:p>
        </w:tc>
        <w:tc>
          <w:tcPr>
            <w:tcW w:type="dxa" w:w="14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7"/>
              </w:rPr>
              <w:t>2–8 Sep</w:t>
            </w:r>
          </w:p>
        </w:tc>
        <w:tc>
          <w:tcPr>
            <w:tcW w:type="dxa" w:w="35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A simple way to stay healthy</w:t>
            </w:r>
          </w:p>
        </w:tc>
        <w:tc>
          <w:tcPr>
            <w:tcW w:type="dxa" w:w="291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Recruit first-time participants</w:t>
            </w:r>
          </w:p>
        </w:tc>
      </w:tr>
      <w:tr>
        <w:trPr>
          <w:cantSplit/>
        </w:trPr>
        <w:tc>
          <w:tcPr>
            <w:tcW w:type="dxa" w:w="14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Round 2</w:t>
            </w:r>
          </w:p>
        </w:tc>
        <w:tc>
          <w:tcPr>
            <w:tcW w:type="dxa" w:w="14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7"/>
              </w:rPr>
              <w:t>9–15 Sep</w:t>
            </w:r>
          </w:p>
        </w:tc>
        <w:tc>
          <w:tcPr>
            <w:tcW w:type="dxa" w:w="35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Sharing household chores</w:t>
            </w:r>
          </w:p>
        </w:tc>
        <w:tc>
          <w:tcPr>
            <w:tcW w:type="dxa" w:w="291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Drive repeat attempts and peer sharing</w:t>
            </w:r>
          </w:p>
        </w:tc>
      </w:tr>
      <w:tr>
        <w:trPr>
          <w:cantSplit/>
        </w:trPr>
        <w:tc>
          <w:tcPr>
            <w:tcW w:type="dxa" w:w="14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Round 3</w:t>
            </w:r>
          </w:p>
        </w:tc>
        <w:tc>
          <w:tcPr>
            <w:tcW w:type="dxa" w:w="14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7"/>
              </w:rPr>
              <w:t>16–22 Sep</w:t>
            </w:r>
          </w:p>
        </w:tc>
        <w:tc>
          <w:tcPr>
            <w:tcW w:type="dxa" w:w="35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Your regular journey</w:t>
            </w:r>
          </w:p>
        </w:tc>
        <w:tc>
          <w:tcPr>
            <w:tcW w:type="dxa" w:w="291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Sustain visibility with a midpoint update</w:t>
            </w:r>
          </w:p>
        </w:tc>
      </w:tr>
      <w:tr>
        <w:trPr>
          <w:cantSplit/>
        </w:trPr>
        <w:tc>
          <w:tcPr>
            <w:tcW w:type="dxa" w:w="14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Round 4</w:t>
            </w:r>
          </w:p>
        </w:tc>
        <w:tc>
          <w:tcPr>
            <w:tcW w:type="dxa" w:w="14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7"/>
              </w:rPr>
              <w:t>23–29 Sep</w:t>
            </w:r>
          </w:p>
        </w:tc>
        <w:tc>
          <w:tcPr>
            <w:tcW w:type="dxa" w:w="35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Relaxing after a full day</w:t>
            </w:r>
          </w:p>
        </w:tc>
        <w:tc>
          <w:tcPr>
            <w:tcW w:type="dxa" w:w="291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Final ranking push</w:t>
            </w:r>
          </w:p>
        </w:tc>
      </w:tr>
      <w:tr>
        <w:trPr>
          <w:cantSplit/>
        </w:trPr>
        <w:tc>
          <w:tcPr>
            <w:tcW w:type="dxa" w:w="14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Close</w:t>
            </w:r>
          </w:p>
        </w:tc>
        <w:tc>
          <w:tcPr>
            <w:tcW w:type="dxa" w:w="14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7"/>
              </w:rPr>
              <w:t>30 Sep</w:t>
            </w:r>
          </w:p>
        </w:tc>
        <w:tc>
          <w:tcPr>
            <w:tcW w:type="dxa" w:w="35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Lock results, begin verification, and publish thank-you notice</w:t>
            </w:r>
          </w:p>
        </w:tc>
        <w:tc>
          <w:tcPr>
            <w:tcW w:type="dxa" w:w="291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Confirm the season leaderboard</w:t>
            </w:r>
          </w:p>
        </w:tc>
      </w:tr>
    </w:tbl>
    <w:p>
      <w:pPr>
        <w:spacing w:before="0" w:after="40" w:line="240" w:lineRule="auto"/>
      </w:pPr>
    </w:p>
    <w:p>
      <w:pPr>
        <w:pStyle w:val="Heading2"/>
      </w:pPr>
      <w:r>
        <w:t>Entry and ranking rules</w:t>
      </w:r>
    </w:p>
    <w:p>
      <w:pPr>
        <w:numPr>
          <w:ilvl w:val="0"/>
          <w:numId w:val="10"/>
        </w:numPr>
        <w:spacing w:after="80" w:line="290" w:lineRule="auto"/>
      </w:pPr>
      <w:r>
        <w:rPr>
          <w:rFonts w:ascii="Calibri" w:hAnsi="Calibri" w:eastAsia="Calibri"/>
          <w:color w:val="232337"/>
        </w:rPr>
        <w:t>Eligibility: authenticated members of the college community using their own DingTalk account.</w:t>
      </w:r>
    </w:p>
    <w:p>
      <w:pPr>
        <w:numPr>
          <w:ilvl w:val="0"/>
          <w:numId w:val="10"/>
        </w:numPr>
        <w:spacing w:after="80" w:line="290" w:lineRule="auto"/>
      </w:pPr>
      <w:r>
        <w:rPr>
          <w:rFonts w:ascii="Calibri" w:hAnsi="Calibri" w:eastAsia="Calibri"/>
          <w:color w:val="232337"/>
        </w:rPr>
        <w:t>Entry: a completed /game recording with a completed evaluation during the applicable weekly round.</w:t>
      </w:r>
    </w:p>
    <w:p>
      <w:pPr>
        <w:numPr>
          <w:ilvl w:val="0"/>
          <w:numId w:val="10"/>
        </w:numPr>
        <w:spacing w:after="80" w:line="290" w:lineRule="auto"/>
      </w:pPr>
      <w:r>
        <w:rPr>
          <w:rFonts w:ascii="Calibri" w:hAnsi="Calibri" w:eastAsia="Calibri"/>
          <w:color w:val="232337"/>
        </w:rPr>
        <w:t>Attempts: unlimited; practice and improvement are encouraged.</w:t>
      </w:r>
    </w:p>
    <w:p>
      <w:pPr>
        <w:numPr>
          <w:ilvl w:val="0"/>
          <w:numId w:val="10"/>
        </w:numPr>
        <w:spacing w:after="80" w:line="290" w:lineRule="auto"/>
      </w:pPr>
      <w:r>
        <w:rPr>
          <w:rFonts w:ascii="Calibri" w:hAnsi="Calibri" w:eastAsia="Calibri"/>
          <w:color w:val="232337"/>
        </w:rPr>
        <w:t>Weekly ranking: each participant’s highest completed score is displayed.</w:t>
      </w:r>
    </w:p>
    <w:p>
      <w:pPr>
        <w:numPr>
          <w:ilvl w:val="0"/>
          <w:numId w:val="10"/>
        </w:numPr>
        <w:spacing w:after="80" w:line="290" w:lineRule="auto"/>
      </w:pPr>
      <w:r>
        <w:rPr>
          <w:rFonts w:ascii="Calibri" w:hAnsi="Calibri" w:eastAsia="Calibri"/>
          <w:color w:val="232337"/>
        </w:rPr>
        <w:t>Tie-break: if best scores are equal, the earlier completion time ranks higher, matching the current platform logic.</w:t>
      </w:r>
    </w:p>
    <w:p>
      <w:pPr>
        <w:numPr>
          <w:ilvl w:val="0"/>
          <w:numId w:val="10"/>
        </w:numPr>
        <w:spacing w:after="80" w:line="290" w:lineRule="auto"/>
      </w:pPr>
      <w:r>
        <w:rPr>
          <w:rFonts w:ascii="Calibri" w:hAnsi="Calibri" w:eastAsia="Calibri"/>
          <w:color w:val="232337"/>
        </w:rPr>
        <w:t>September recognition: after Round 4, operations compiles a season table from all four weekly records and retains each participant’s highest weekly score. The current interface remains weekly; a live season board would require product work.</w:t>
      </w:r>
    </w:p>
    <w:p>
      <w:pPr>
        <w:numPr>
          <w:ilvl w:val="0"/>
          <w:numId w:val="10"/>
        </w:numPr>
        <w:spacing w:after="80" w:line="290" w:lineRule="auto"/>
      </w:pPr>
      <w:r>
        <w:rPr>
          <w:rFonts w:ascii="Calibri" w:hAnsi="Calibri" w:eastAsia="Calibri"/>
          <w:color w:val="232337"/>
        </w:rPr>
        <w:t>Identity: participants may display their actual name or one editable alias; changing the setting updates all leaderboard views.</w:t>
      </w:r>
    </w:p>
    <w:p>
      <w:pPr>
        <w:numPr>
          <w:ilvl w:val="0"/>
          <w:numId w:val="10"/>
        </w:numPr>
        <w:spacing w:after="80" w:line="290" w:lineRule="auto"/>
      </w:pPr>
      <w:r>
        <w:rPr>
          <w:rFonts w:ascii="Calibri" w:hAnsi="Calibri" w:eastAsia="Calibri"/>
          <w:color w:val="232337"/>
        </w:rPr>
        <w:t>Winner verification: the top five are subject to a light manual review before prizes are confirmed.</w:t>
      </w:r>
    </w:p>
    <w:p>
      <w:pPr>
        <w:spacing w:before="100" w:after="220" w:line="283" w:lineRule="auto"/>
        <w:ind w:left="115" w:right="115"/>
        <w:shd w:fill="F8F6FF" w:val="clear"/>
        <w:pBdr>
          <w:top w:val="single" w:sz="12" w:space="8" w:color="F8F6FF"/>
          <w:left w:val="single" w:sz="12" w:space="8" w:color="F8F6FF"/>
          <w:bottom w:val="single" w:sz="12" w:space="8" w:color="F8F6FF"/>
          <w:right w:val="single" w:sz="12" w:space="8" w:color="F8F6FF"/>
        </w:pBdr>
      </w:pPr>
      <w:r>
        <w:rPr>
          <w:rFonts w:ascii="Calibri" w:hAnsi="Calibri" w:eastAsia="Calibri"/>
          <w:b/>
          <w:color w:val="30247A"/>
          <w:sz w:val="18"/>
        </w:rPr>
        <w:t xml:space="preserve">ROUND TIMING  </w:t>
      </w:r>
      <w:r>
        <w:rPr>
          <w:rFonts w:ascii="Calibri" w:hAnsi="Calibri" w:eastAsia="Calibri"/>
          <w:color w:val="232337"/>
          <w:sz w:val="20"/>
        </w:rPr>
        <w:t>Each round opens at 00:00 Wednesday and closes at 00:00 the following Wednesday in Asia/Shanghai time. The date ranges above show the eligible calendar days.</w:t>
      </w:r>
    </w:p>
    <w:p>
      <w:pPr>
        <w:pStyle w:val="Heading2"/>
      </w:pPr>
      <w:r>
        <w:t>Scoring standard</w:t>
      </w:r>
    </w:p>
    <w:tbl>
      <w:tblPr>
        <w:tblStyle w:val="TableGrid"/>
        <w:tblW w:type="dxa" w:w="9360"/>
        <w:jc w:val="left"/>
        <w:tblLayout w:type="fixed"/>
        <w:tblLook w:firstColumn="1" w:firstRow="1" w:lastColumn="0" w:lastRow="0" w:noHBand="0" w:noVBand="1" w:val="04A0"/>
        <w:tblInd w:type="dxa" w:w="120"/>
      </w:tblPr>
      <w:tblGrid>
        <w:gridCol w:w="3000"/>
        <w:gridCol w:w="1050"/>
        <w:gridCol w:w="5310"/>
      </w:tblGrid>
      <w:tr>
        <w:trPr>
          <w:tblHeader w:val="true"/>
          <w:cantSplit/>
        </w:trPr>
        <w:tc>
          <w:tcPr>
            <w:tcW w:type="dxa" w:w="300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Dimension</w:t>
            </w:r>
          </w:p>
        </w:tc>
        <w:tc>
          <w:tcPr>
            <w:tcW w:type="dxa" w:w="105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Weight</w:t>
            </w:r>
          </w:p>
        </w:tc>
        <w:tc>
          <w:tcPr>
            <w:tcW w:type="dxa" w:w="531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Primary evidence</w:t>
            </w:r>
          </w:p>
        </w:tc>
      </w:tr>
      <w:tr>
        <w:trPr>
          <w:cantSplit/>
        </w:trPr>
        <w:tc>
          <w:tcPr>
            <w:tcW w:type="dxa" w:w="30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Pronunciation / intelligibility</w:t>
            </w:r>
          </w:p>
        </w:tc>
        <w:tc>
          <w:tcPr>
            <w:tcW w:type="dxa" w:w="10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7"/>
              </w:rPr>
              <w:t>20%</w:t>
            </w:r>
          </w:p>
        </w:tc>
        <w:tc>
          <w:tcPr>
            <w:tcW w:type="dxa" w:w="531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Clarity, stress, rhythm, intelligibility, and transcription reliability</w:t>
            </w:r>
          </w:p>
        </w:tc>
      </w:tr>
      <w:tr>
        <w:trPr>
          <w:cantSplit/>
        </w:trPr>
        <w:tc>
          <w:tcPr>
            <w:tcW w:type="dxa" w:w="30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Fluency</w:t>
            </w:r>
          </w:p>
        </w:tc>
        <w:tc>
          <w:tcPr>
            <w:tcW w:type="dxa" w:w="10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7"/>
              </w:rPr>
              <w:t>10%</w:t>
            </w:r>
          </w:p>
        </w:tc>
        <w:tc>
          <w:tcPr>
            <w:tcW w:type="dxa" w:w="531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Speaking rate, pauses, hesitation, self-correction, and continuity</w:t>
            </w:r>
          </w:p>
        </w:tc>
      </w:tr>
      <w:tr>
        <w:trPr>
          <w:cantSplit/>
        </w:trPr>
        <w:tc>
          <w:tcPr>
            <w:tcW w:type="dxa" w:w="30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Grammar</w:t>
            </w:r>
          </w:p>
        </w:tc>
        <w:tc>
          <w:tcPr>
            <w:tcW w:type="dxa" w:w="10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7"/>
              </w:rPr>
              <w:t>20%</w:t>
            </w:r>
          </w:p>
        </w:tc>
        <w:tc>
          <w:tcPr>
            <w:tcW w:type="dxa" w:w="531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Sentence structure, tense, agreement, word order, and effect on meaning</w:t>
            </w:r>
          </w:p>
        </w:tc>
      </w:tr>
      <w:tr>
        <w:trPr>
          <w:cantSplit/>
        </w:trPr>
        <w:tc>
          <w:tcPr>
            <w:tcW w:type="dxa" w:w="30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Vocabulary</w:t>
            </w:r>
          </w:p>
        </w:tc>
        <w:tc>
          <w:tcPr>
            <w:tcW w:type="dxa" w:w="10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7"/>
              </w:rPr>
              <w:t>15%</w:t>
            </w:r>
          </w:p>
        </w:tc>
        <w:tc>
          <w:tcPr>
            <w:tcW w:type="dxa" w:w="531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Range, precision, appropriateness, and unnecessary repetition</w:t>
            </w:r>
          </w:p>
        </w:tc>
      </w:tr>
      <w:tr>
        <w:trPr>
          <w:cantSplit/>
        </w:trPr>
        <w:tc>
          <w:tcPr>
            <w:tcW w:type="dxa" w:w="30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Coherence / task relevance</w:t>
            </w:r>
          </w:p>
        </w:tc>
        <w:tc>
          <w:tcPr>
            <w:tcW w:type="dxa" w:w="10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7"/>
              </w:rPr>
              <w:t>25%</w:t>
            </w:r>
          </w:p>
        </w:tc>
        <w:tc>
          <w:tcPr>
            <w:tcW w:type="dxa" w:w="531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Task completion, logical sequence, connections, and main point</w:t>
            </w:r>
          </w:p>
        </w:tc>
      </w:tr>
      <w:tr>
        <w:trPr>
          <w:cantSplit/>
        </w:trPr>
        <w:tc>
          <w:tcPr>
            <w:tcW w:type="dxa" w:w="30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Visual delivery</w:t>
            </w:r>
          </w:p>
        </w:tc>
        <w:tc>
          <w:tcPr>
            <w:tcW w:type="dxa" w:w="10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7"/>
              </w:rPr>
              <w:t>10%</w:t>
            </w:r>
          </w:p>
        </w:tc>
        <w:tc>
          <w:tcPr>
            <w:tcW w:type="dxa" w:w="531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Camera engagement, posture, framing, and distracting movement</w:t>
            </w:r>
          </w:p>
        </w:tc>
      </w:tr>
    </w:tbl>
    <w:p>
      <w:pPr>
        <w:spacing w:before="0" w:after="40" w:line="240" w:lineRule="auto"/>
      </w:pPr>
    </w:p>
    <w:p>
      <w:pPr>
        <w:spacing w:before="100" w:after="220" w:line="283" w:lineRule="auto"/>
        <w:ind w:left="115" w:right="115"/>
        <w:shd w:fill="FFF4D6" w:val="clear"/>
        <w:pBdr>
          <w:top w:val="single" w:sz="12" w:space="8" w:color="FFF4D6"/>
          <w:left w:val="single" w:sz="12" w:space="8" w:color="FFF4D6"/>
          <w:bottom w:val="single" w:sz="12" w:space="8" w:color="FFF4D6"/>
          <w:right w:val="single" w:sz="12" w:space="8" w:color="FFF4D6"/>
        </w:pBdr>
      </w:pPr>
      <w:r>
        <w:rPr>
          <w:rFonts w:ascii="Calibri" w:hAnsi="Calibri" w:eastAsia="Calibri"/>
          <w:b/>
          <w:color w:val="B27B00"/>
          <w:sz w:val="18"/>
        </w:rPr>
        <w:t xml:space="preserve">SCORING DISCLOSURE  </w:t>
      </w:r>
      <w:r>
        <w:rPr>
          <w:rFonts w:ascii="Calibri" w:hAnsi="Calibri" w:eastAsia="Calibri"/>
          <w:color w:val="232337"/>
          <w:sz w:val="20"/>
        </w:rPr>
        <w:t>Qwen ASR transcribes English speech; it does not score learners. Pronunciation is currently an indirect intelligibility inference rather than phoneme-level acoustic scoring. Publish this limitation to avoid overstating the technology.</w:t>
      </w:r>
    </w:p>
    <w:p>
      <w:pPr>
        <w:spacing w:before="0" w:after="140"/>
        <w:jc w:val="left"/>
        <w:keepNext/>
      </w:pPr>
      <w:r>
        <w:rPr>
          <w:rFonts w:ascii="Calibri" w:hAnsi="Calibri" w:eastAsia="Calibri"/>
          <w:b/>
          <w:caps/>
          <w:color w:val="5B4EE5"/>
          <w:sz w:val="19"/>
        </w:rPr>
        <w:t>SECTION 04</w:t>
      </w:r>
    </w:p>
    <w:p>
      <w:pPr>
        <w:pStyle w:val="Heading1"/>
        <w:spacing w:before="0"/>
      </w:pPr>
      <w:r>
        <w:t>Rewards, budget, and procurement</w:t>
      </w:r>
    </w:p>
    <w:p>
      <w:pPr>
        <w:spacing w:before="0" w:after="240" w:line="300" w:lineRule="auto"/>
      </w:pPr>
      <w:r>
        <w:rPr>
          <w:rFonts w:ascii="Calibri" w:hAnsi="Calibri" w:eastAsia="Calibri"/>
          <w:b/>
          <w:color w:val="30247A"/>
          <w:sz w:val="26"/>
        </w:rPr>
        <w:t>Use practical non-cash prize packages to create a strong headline while keeping individual items affordable and preserving the rest of the annual activity budget.</w:t>
      </w:r>
    </w:p>
    <w:p>
      <w:pPr>
        <w:spacing w:before="100" w:after="220" w:line="283" w:lineRule="auto"/>
        <w:ind w:left="115" w:right="115"/>
        <w:shd w:fill="F2EFFF" w:val="clear"/>
        <w:pBdr>
          <w:top w:val="single" w:sz="12" w:space="8" w:color="F2EFFF"/>
          <w:left w:val="single" w:sz="12" w:space="8" w:color="F2EFFF"/>
          <w:bottom w:val="single" w:sz="12" w:space="8" w:color="F2EFFF"/>
          <w:right w:val="single" w:sz="12" w:space="8" w:color="F2EFFF"/>
        </w:pBdr>
      </w:pPr>
      <w:r>
        <w:rPr>
          <w:rFonts w:ascii="Calibri" w:hAnsi="Calibri" w:eastAsia="Calibri"/>
          <w:b/>
          <w:color w:val="30247A"/>
          <w:sz w:val="18"/>
        </w:rPr>
        <w:t xml:space="preserve">APPROVED CEILING  </w:t>
      </w:r>
      <w:r>
        <w:rPr>
          <w:rFonts w:ascii="Calibri" w:hAnsi="Calibri" w:eastAsia="Calibri"/>
          <w:color w:val="232337"/>
          <w:sz w:val="20"/>
        </w:rPr>
        <w:t>Allocate ¥1,000 of the annual ¥2,000 activity budget to funded September prize packages. Do not commit the remaining ¥1,000 to this campaign.</w:t>
      </w:r>
    </w:p>
    <w:p>
      <w:pPr>
        <w:pStyle w:val="Heading2"/>
      </w:pPr>
      <w:r>
        <w:t>Recommended reward structure</w:t>
      </w:r>
    </w:p>
    <w:tbl>
      <w:tblPr>
        <w:tblStyle w:val="TableGrid"/>
        <w:tblW w:type="dxa" w:w="9360"/>
        <w:jc w:val="left"/>
        <w:tblLayout w:type="fixed"/>
        <w:tblLook w:firstColumn="1" w:firstRow="1" w:lastColumn="0" w:lastRow="0" w:noHBand="0" w:noVBand="1" w:val="04A0"/>
        <w:tblInd w:type="dxa" w:w="120"/>
      </w:tblPr>
      <w:tblGrid>
        <w:gridCol w:w="1800"/>
        <w:gridCol w:w="1450"/>
        <w:gridCol w:w="4010"/>
        <w:gridCol w:w="2100"/>
      </w:tblGrid>
      <w:tr>
        <w:trPr>
          <w:tblHeader w:val="true"/>
          <w:cantSplit/>
        </w:trPr>
        <w:tc>
          <w:tcPr>
            <w:tcW w:type="dxa" w:w="180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Recognition</w:t>
            </w:r>
          </w:p>
        </w:tc>
        <w:tc>
          <w:tcPr>
            <w:tcW w:type="dxa" w:w="145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Funded value</w:t>
            </w:r>
          </w:p>
        </w:tc>
        <w:tc>
          <w:tcPr>
            <w:tcW w:type="dxa" w:w="401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Recommended format</w:t>
            </w:r>
          </w:p>
        </w:tc>
        <w:tc>
          <w:tcPr>
            <w:tcW w:type="dxa" w:w="210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Funding source</w:t>
            </w:r>
          </w:p>
        </w:tc>
      </w:tr>
      <w:tr>
        <w:trPr>
          <w:cantSplit/>
        </w:trPr>
        <w:tc>
          <w:tcPr>
            <w:tcW w:type="dxa" w:w="18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1st place</w:t>
            </w:r>
          </w:p>
        </w:tc>
        <w:tc>
          <w:tcPr>
            <w:tcW w:type="dxa" w:w="14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¥500</w:t>
            </w:r>
          </w:p>
        </w:tc>
        <w:tc>
          <w:tcPr>
            <w:tcW w:type="dxa" w:w="401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Practical prize bundle; individual items should normally remain at or below ¥100</w:t>
            </w:r>
          </w:p>
        </w:tc>
        <w:tc>
          <w:tcPr>
            <w:tcW w:type="dxa" w:w="21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September competition allocation</w:t>
            </w:r>
          </w:p>
        </w:tc>
      </w:tr>
      <w:tr>
        <w:trPr>
          <w:cantSplit/>
        </w:trPr>
        <w:tc>
          <w:tcPr>
            <w:tcW w:type="dxa" w:w="18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2nd place</w:t>
            </w:r>
          </w:p>
        </w:tc>
        <w:tc>
          <w:tcPr>
            <w:tcW w:type="dxa" w:w="14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¥300</w:t>
            </w:r>
          </w:p>
        </w:tc>
        <w:tc>
          <w:tcPr>
            <w:tcW w:type="dxa" w:w="401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Smaller practical prize bundle</w:t>
            </w:r>
          </w:p>
        </w:tc>
        <w:tc>
          <w:tcPr>
            <w:tcW w:type="dxa" w:w="21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September competition allocation</w:t>
            </w:r>
          </w:p>
        </w:tc>
      </w:tr>
      <w:tr>
        <w:trPr>
          <w:cantSplit/>
        </w:trPr>
        <w:tc>
          <w:tcPr>
            <w:tcW w:type="dxa" w:w="18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3rd place</w:t>
            </w:r>
          </w:p>
        </w:tc>
        <w:tc>
          <w:tcPr>
            <w:tcW w:type="dxa" w:w="14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¥200</w:t>
            </w:r>
          </w:p>
        </w:tc>
        <w:tc>
          <w:tcPr>
            <w:tcW w:type="dxa" w:w="401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Compact practical prize bundle</w:t>
            </w:r>
          </w:p>
        </w:tc>
        <w:tc>
          <w:tcPr>
            <w:tcW w:type="dxa" w:w="21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September competition allocation</w:t>
            </w:r>
          </w:p>
        </w:tc>
      </w:tr>
      <w:tr>
        <w:trPr>
          <w:cantSplit/>
        </w:trPr>
        <w:tc>
          <w:tcPr>
            <w:tcW w:type="dxa" w:w="18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4th place</w:t>
            </w:r>
          </w:p>
        </w:tc>
        <w:tc>
          <w:tcPr>
            <w:tcW w:type="dxa" w:w="14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¥0 incremental</w:t>
            </w:r>
          </w:p>
        </w:tc>
        <w:tc>
          <w:tcPr>
            <w:tcW w:type="dxa" w:w="401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Teacher-provided book or equivalent donated item</w:t>
            </w:r>
          </w:p>
        </w:tc>
        <w:tc>
          <w:tcPr>
            <w:tcW w:type="dxa" w:w="21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In-kind</w:t>
            </w:r>
          </w:p>
        </w:tc>
      </w:tr>
      <w:tr>
        <w:trPr>
          <w:cantSplit/>
        </w:trPr>
        <w:tc>
          <w:tcPr>
            <w:tcW w:type="dxa" w:w="18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5th place</w:t>
            </w:r>
          </w:p>
        </w:tc>
        <w:tc>
          <w:tcPr>
            <w:tcW w:type="dxa" w:w="14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¥0 incremental</w:t>
            </w:r>
          </w:p>
        </w:tc>
        <w:tc>
          <w:tcPr>
            <w:tcW w:type="dxa" w:w="401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College-branded promotional item</w:t>
            </w:r>
          </w:p>
        </w:tc>
        <w:tc>
          <w:tcPr>
            <w:tcW w:type="dxa" w:w="21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PR inventory / in-kind</w:t>
            </w:r>
          </w:p>
        </w:tc>
      </w:tr>
      <w:tr>
        <w:trPr>
          <w:cantSplit/>
        </w:trPr>
        <w:tc>
          <w:tcPr>
            <w:tcW w:type="dxa" w:w="18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All eligible participants</w:t>
            </w:r>
          </w:p>
        </w:tc>
        <w:tc>
          <w:tcPr>
            <w:tcW w:type="dxa" w:w="14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¥0 preferred</w:t>
            </w:r>
          </w:p>
        </w:tc>
        <w:tc>
          <w:tcPr>
            <w:tcW w:type="dxa" w:w="401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Digital recognition plus small souvenir while stock lasts</w:t>
            </w:r>
          </w:p>
        </w:tc>
        <w:tc>
          <w:tcPr>
            <w:tcW w:type="dxa" w:w="21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PR inventory or sponsorship</w:t>
            </w:r>
          </w:p>
        </w:tc>
      </w:tr>
      <w:tr>
        <w:trPr>
          <w:cantSplit/>
        </w:trPr>
        <w:tc>
          <w:tcPr>
            <w:tcW w:type="dxa" w:w="18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TOTAL FUNDED</w:t>
            </w:r>
          </w:p>
        </w:tc>
        <w:tc>
          <w:tcPr>
            <w:tcW w:type="dxa" w:w="14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¥1,000</w:t>
            </w:r>
          </w:p>
        </w:tc>
        <w:tc>
          <w:tcPr>
            <w:tcW w:type="dxa" w:w="401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Top-three packages</w:t>
            </w:r>
          </w:p>
        </w:tc>
        <w:tc>
          <w:tcPr>
            <w:tcW w:type="dxa" w:w="21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Within approved ceiling</w:t>
            </w:r>
          </w:p>
        </w:tc>
      </w:tr>
    </w:tbl>
    <w:p>
      <w:pPr>
        <w:spacing w:before="0" w:after="40" w:line="240" w:lineRule="auto"/>
      </w:pPr>
    </w:p>
    <w:p>
      <w:pPr>
        <w:pStyle w:val="Heading2"/>
      </w:pPr>
      <w:r>
        <w:t>Procurement principles</w:t>
      </w:r>
    </w:p>
    <w:p>
      <w:pPr>
        <w:numPr>
          <w:ilvl w:val="0"/>
          <w:numId w:val="10"/>
        </w:numPr>
        <w:spacing w:after="80" w:line="290" w:lineRule="auto"/>
      </w:pPr>
      <w:r>
        <w:rPr>
          <w:rFonts w:ascii="Calibri" w:hAnsi="Calibri" w:eastAsia="Calibri"/>
          <w:color w:val="232337"/>
        </w:rPr>
        <w:t>Use practical, portable items with proven appeal, such as chargers, notebooks, and small stationery.</w:t>
      </w:r>
    </w:p>
    <w:p>
      <w:pPr>
        <w:numPr>
          <w:ilvl w:val="0"/>
          <w:numId w:val="10"/>
        </w:numPr>
        <w:spacing w:after="80" w:line="290" w:lineRule="auto"/>
      </w:pPr>
      <w:r>
        <w:rPr>
          <w:rFonts w:ascii="Calibri" w:hAnsi="Calibri" w:eastAsia="Calibri"/>
          <w:color w:val="232337"/>
        </w:rPr>
        <w:t>Ask Teacher Zhou to request books and available branded items from the relevant college department by email.</w:t>
      </w:r>
    </w:p>
    <w:p>
      <w:pPr>
        <w:numPr>
          <w:ilvl w:val="0"/>
          <w:numId w:val="10"/>
        </w:numPr>
        <w:spacing w:after="80" w:line="290" w:lineRule="auto"/>
      </w:pPr>
      <w:r>
        <w:rPr>
          <w:rFonts w:ascii="Calibri" w:hAnsi="Calibri" w:eastAsia="Calibri"/>
          <w:color w:val="232337"/>
        </w:rPr>
        <w:t>Contact the public relations department before purchasing anything; existing stock and partner channels should be used first.</w:t>
      </w:r>
    </w:p>
    <w:p>
      <w:pPr>
        <w:numPr>
          <w:ilvl w:val="0"/>
          <w:numId w:val="10"/>
        </w:numPr>
        <w:spacing w:after="80" w:line="290" w:lineRule="auto"/>
      </w:pPr>
      <w:r>
        <w:rPr>
          <w:rFonts w:ascii="Calibri" w:hAnsi="Calibri" w:eastAsia="Calibri"/>
          <w:color w:val="232337"/>
        </w:rPr>
        <w:t>Avoid bulk purchases of expensive original English books. Use donated copies selectively as distinctive recognition prizes.</w:t>
      </w:r>
    </w:p>
    <w:p>
      <w:pPr>
        <w:numPr>
          <w:ilvl w:val="0"/>
          <w:numId w:val="10"/>
        </w:numPr>
        <w:spacing w:after="80" w:line="290" w:lineRule="auto"/>
      </w:pPr>
      <w:r>
        <w:rPr>
          <w:rFonts w:ascii="Calibri" w:hAnsi="Calibri" w:eastAsia="Calibri"/>
          <w:color w:val="232337"/>
        </w:rPr>
        <w:t>Publish the prize composition before the final round and retain purchase receipts or in-kind confirmation.</w:t>
      </w:r>
    </w:p>
    <w:p>
      <w:pPr>
        <w:numPr>
          <w:ilvl w:val="0"/>
          <w:numId w:val="10"/>
        </w:numPr>
        <w:spacing w:after="80" w:line="290" w:lineRule="auto"/>
      </w:pPr>
      <w:r>
        <w:rPr>
          <w:rFonts w:ascii="Calibri" w:hAnsi="Calibri" w:eastAsia="Calibri"/>
          <w:color w:val="232337"/>
        </w:rPr>
        <w:t>Do not advertise a cash prize if the actual award will be a physical bundle; communicate “prize value” consistently.</w:t>
      </w:r>
    </w:p>
    <w:p>
      <w:pPr>
        <w:pStyle w:val="Heading2"/>
      </w:pPr>
      <w:r>
        <w:t>Procurement decision gates</w:t>
      </w:r>
    </w:p>
    <w:tbl>
      <w:tblPr>
        <w:tblStyle w:val="TableGrid"/>
        <w:tblW w:type="dxa" w:w="9360"/>
        <w:jc w:val="left"/>
        <w:tblLayout w:type="fixed"/>
        <w:tblLook w:firstColumn="1" w:firstRow="1" w:lastColumn="0" w:lastRow="0" w:noHBand="0" w:noVBand="1" w:val="04A0"/>
        <w:tblInd w:type="dxa" w:w="120"/>
      </w:tblPr>
      <w:tblGrid>
        <w:gridCol w:w="1600"/>
        <w:gridCol w:w="2900"/>
        <w:gridCol w:w="4860"/>
      </w:tblGrid>
      <w:tr>
        <w:trPr>
          <w:tblHeader w:val="true"/>
          <w:cantSplit/>
        </w:trPr>
        <w:tc>
          <w:tcPr>
            <w:tcW w:type="dxa" w:w="160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Deadline</w:t>
            </w:r>
          </w:p>
        </w:tc>
        <w:tc>
          <w:tcPr>
            <w:tcW w:type="dxa" w:w="290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Decision</w:t>
            </w:r>
          </w:p>
        </w:tc>
        <w:tc>
          <w:tcPr>
            <w:tcW w:type="dxa" w:w="486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Acceptance condition</w:t>
            </w:r>
          </w:p>
        </w:tc>
      </w:tr>
      <w:tr>
        <w:trPr>
          <w:cantSplit/>
        </w:trPr>
        <w:tc>
          <w:tcPr>
            <w:tcW w:type="dxa" w:w="16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30247A"/>
                <w:sz w:val="18"/>
              </w:rPr>
              <w:t>14 Aug</w:t>
            </w:r>
          </w:p>
        </w:tc>
        <w:tc>
          <w:tcPr>
            <w:tcW w:type="dxa" w:w="29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8"/>
              </w:rPr>
              <w:t>Internal resource check</w:t>
            </w:r>
          </w:p>
        </w:tc>
        <w:tc>
          <w:tcPr>
            <w:tcW w:type="dxa" w:w="486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8"/>
              </w:rPr>
              <w:t>Books and branded stock are confirmed in writing</w:t>
            </w:r>
          </w:p>
        </w:tc>
      </w:tr>
      <w:tr>
        <w:trPr>
          <w:cantSplit/>
        </w:trPr>
        <w:tc>
          <w:tcPr>
            <w:tcW w:type="dxa" w:w="16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30247A"/>
                <w:sz w:val="18"/>
              </w:rPr>
              <w:t>21 Aug</w:t>
            </w:r>
          </w:p>
        </w:tc>
        <w:tc>
          <w:tcPr>
            <w:tcW w:type="dxa" w:w="29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8"/>
              </w:rPr>
              <w:t>Prize package selection</w:t>
            </w:r>
          </w:p>
        </w:tc>
        <w:tc>
          <w:tcPr>
            <w:tcW w:type="dxa" w:w="486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8"/>
              </w:rPr>
              <w:t>Top-three packages total no more than ¥1,000</w:t>
            </w:r>
          </w:p>
        </w:tc>
      </w:tr>
      <w:tr>
        <w:trPr>
          <w:cantSplit/>
        </w:trPr>
        <w:tc>
          <w:tcPr>
            <w:tcW w:type="dxa" w:w="16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30247A"/>
                <w:sz w:val="18"/>
              </w:rPr>
              <w:t>26 Aug</w:t>
            </w:r>
          </w:p>
        </w:tc>
        <w:tc>
          <w:tcPr>
            <w:tcW w:type="dxa" w:w="29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8"/>
              </w:rPr>
              <w:t>Procurement complete</w:t>
            </w:r>
          </w:p>
        </w:tc>
        <w:tc>
          <w:tcPr>
            <w:tcW w:type="dxa" w:w="486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8"/>
              </w:rPr>
              <w:t>Items are received or delivery is guaranteed before 23 Sep</w:t>
            </w:r>
          </w:p>
        </w:tc>
      </w:tr>
      <w:tr>
        <w:trPr>
          <w:cantSplit/>
        </w:trPr>
        <w:tc>
          <w:tcPr>
            <w:tcW w:type="dxa" w:w="16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30247A"/>
                <w:sz w:val="18"/>
              </w:rPr>
              <w:t>30 Sep</w:t>
            </w:r>
          </w:p>
        </w:tc>
        <w:tc>
          <w:tcPr>
            <w:tcW w:type="dxa" w:w="29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8"/>
              </w:rPr>
              <w:t>Winner verification</w:t>
            </w:r>
          </w:p>
        </w:tc>
        <w:tc>
          <w:tcPr>
            <w:tcW w:type="dxa" w:w="486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8"/>
              </w:rPr>
              <w:t>Top five are confirmed before distribution</w:t>
            </w:r>
          </w:p>
        </w:tc>
      </w:tr>
    </w:tbl>
    <w:p>
      <w:pPr>
        <w:spacing w:before="0" w:after="40" w:line="240" w:lineRule="auto"/>
      </w:pPr>
    </w:p>
    <w:p>
      <w:pPr>
        <w:spacing w:before="0" w:after="140"/>
        <w:jc w:val="left"/>
        <w:keepNext/>
      </w:pPr>
      <w:r>
        <w:rPr>
          <w:rFonts w:ascii="Calibri" w:hAnsi="Calibri" w:eastAsia="Calibri"/>
          <w:b/>
          <w:caps/>
          <w:color w:val="5B4EE5"/>
          <w:sz w:val="19"/>
        </w:rPr>
        <w:t>SECTION 05</w:t>
      </w:r>
    </w:p>
    <w:p>
      <w:pPr>
        <w:pStyle w:val="Heading1"/>
        <w:spacing w:before="0"/>
      </w:pPr>
      <w:r>
        <w:t>Promotion and engagement plan</w:t>
      </w:r>
    </w:p>
    <w:p>
      <w:pPr>
        <w:spacing w:before="0" w:after="240" w:line="300" w:lineRule="auto"/>
      </w:pPr>
      <w:r>
        <w:rPr>
          <w:rFonts w:ascii="Calibri" w:hAnsi="Calibri" w:eastAsia="Calibri"/>
          <w:b/>
          <w:color w:val="30247A"/>
          <w:sz w:val="26"/>
        </w:rPr>
        <w:t>Build one recognizable September story across physical and digital channels, then refresh it weekly with the current topic and leaderboard momentum.</w:t>
      </w:r>
    </w:p>
    <w:p>
      <w:pPr>
        <w:pStyle w:val="Heading2"/>
      </w:pPr>
      <w:r>
        <w:t>Message hierarchy</w:t>
      </w:r>
    </w:p>
    <w:p>
      <w:pPr>
        <w:spacing w:before="0" w:after="240" w:line="300" w:lineRule="auto"/>
      </w:pPr>
      <w:r>
        <w:rPr>
          <w:rFonts w:ascii="Calibri" w:hAnsi="Calibri" w:eastAsia="Calibri"/>
          <w:b/>
          <w:color w:val="30247A"/>
          <w:sz w:val="26"/>
        </w:rPr>
        <w:t>One topic. One week. Your best score counts.</w:t>
      </w:r>
    </w:p>
    <w:p>
      <w:pPr>
        <w:numPr>
          <w:ilvl w:val="0"/>
          <w:numId w:val="10"/>
        </w:numPr>
        <w:spacing w:after="80" w:line="290" w:lineRule="auto"/>
      </w:pPr>
      <w:r>
        <w:rPr>
          <w:rFonts w:ascii="Calibri" w:hAnsi="Calibri" w:eastAsia="Calibri"/>
          <w:b/>
          <w:color w:val="232337"/>
        </w:rPr>
        <w:t>Benefit:</w:t>
      </w:r>
      <w:r>
        <w:rPr>
          <w:rFonts w:ascii="Calibri" w:hAnsi="Calibri" w:eastAsia="Calibri"/>
          <w:color w:val="232337"/>
        </w:rPr>
        <w:t xml:space="preserve"> practise real-life English, receive immediate feedback, and improve through repeat attempts.</w:t>
      </w:r>
    </w:p>
    <w:p>
      <w:pPr>
        <w:numPr>
          <w:ilvl w:val="0"/>
          <w:numId w:val="10"/>
        </w:numPr>
        <w:spacing w:after="80" w:line="290" w:lineRule="auto"/>
      </w:pPr>
      <w:r>
        <w:rPr>
          <w:rFonts w:ascii="Calibri" w:hAnsi="Calibri" w:eastAsia="Calibri"/>
          <w:b/>
          <w:color w:val="232337"/>
        </w:rPr>
        <w:t>Proof:</w:t>
      </w:r>
      <w:r>
        <w:rPr>
          <w:rFonts w:ascii="Calibri" w:hAnsi="Calibri" w:eastAsia="Calibri"/>
          <w:color w:val="232337"/>
        </w:rPr>
        <w:t xml:space="preserve"> all participants receive the same weekly topic and only their best completed score appears.</w:t>
      </w:r>
    </w:p>
    <w:p>
      <w:pPr>
        <w:numPr>
          <w:ilvl w:val="0"/>
          <w:numId w:val="10"/>
        </w:numPr>
        <w:spacing w:after="80" w:line="290" w:lineRule="auto"/>
      </w:pPr>
      <w:r>
        <w:rPr>
          <w:rFonts w:ascii="Calibri" w:hAnsi="Calibri" w:eastAsia="Calibri"/>
          <w:b/>
          <w:color w:val="232337"/>
        </w:rPr>
        <w:t>Incentive:</w:t>
      </w:r>
      <w:r>
        <w:rPr>
          <w:rFonts w:ascii="Calibri" w:hAnsi="Calibri" w:eastAsia="Calibri"/>
          <w:color w:val="232337"/>
        </w:rPr>
        <w:t xml:space="preserve"> top-five recognition, practical prizes, and participation souvenirs subject to availability.</w:t>
      </w:r>
    </w:p>
    <w:p>
      <w:pPr>
        <w:numPr>
          <w:ilvl w:val="0"/>
          <w:numId w:val="10"/>
        </w:numPr>
        <w:spacing w:after="80" w:line="290" w:lineRule="auto"/>
      </w:pPr>
      <w:r>
        <w:rPr>
          <w:rFonts w:ascii="Calibri" w:hAnsi="Calibri" w:eastAsia="Calibri"/>
          <w:b/>
          <w:color w:val="232337"/>
        </w:rPr>
        <w:t>Privacy:</w:t>
      </w:r>
      <w:r>
        <w:rPr>
          <w:rFonts w:ascii="Calibri" w:hAnsi="Calibri" w:eastAsia="Calibri"/>
          <w:color w:val="232337"/>
        </w:rPr>
        <w:t xml:space="preserve"> use an alias on the public board; saved recordings remain private to the participant.</w:t>
      </w:r>
    </w:p>
    <w:p>
      <w:pPr>
        <w:pStyle w:val="Heading2"/>
      </w:pPr>
      <w:r>
        <w:t>Channel plan</w:t>
      </w:r>
    </w:p>
    <w:tbl>
      <w:tblPr>
        <w:tblStyle w:val="TableGrid"/>
        <w:tblW w:type="dxa" w:w="9360"/>
        <w:jc w:val="left"/>
        <w:tblLayout w:type="fixed"/>
        <w:tblLook w:firstColumn="1" w:firstRow="1" w:lastColumn="0" w:lastRow="0" w:noHBand="0" w:noVBand="1" w:val="04A0"/>
        <w:tblInd w:type="dxa" w:w="120"/>
      </w:tblPr>
      <w:tblGrid>
        <w:gridCol w:w="1650"/>
        <w:gridCol w:w="3240"/>
        <w:gridCol w:w="1650"/>
        <w:gridCol w:w="2820"/>
      </w:tblGrid>
      <w:tr>
        <w:trPr>
          <w:tblHeader w:val="true"/>
          <w:cantSplit/>
        </w:trPr>
        <w:tc>
          <w:tcPr>
            <w:tcW w:type="dxa" w:w="165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Channel</w:t>
            </w:r>
          </w:p>
        </w:tc>
        <w:tc>
          <w:tcPr>
            <w:tcW w:type="dxa" w:w="324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Asset / action</w:t>
            </w:r>
          </w:p>
        </w:tc>
        <w:tc>
          <w:tcPr>
            <w:tcW w:type="dxa" w:w="165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Timing</w:t>
            </w:r>
          </w:p>
        </w:tc>
        <w:tc>
          <w:tcPr>
            <w:tcW w:type="dxa" w:w="282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Call to action</w:t>
            </w:r>
          </w:p>
        </w:tc>
      </w:tr>
      <w:tr>
        <w:trPr>
          <w:cantSplit/>
        </w:trPr>
        <w:tc>
          <w:tcPr>
            <w:tcW w:type="dxa" w:w="16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Elevator screens</w:t>
            </w:r>
          </w:p>
        </w:tc>
        <w:tc>
          <w:tcPr>
            <w:tcW w:type="dxa" w:w="324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Vertical poster with QR code and prize headline</w:t>
            </w:r>
          </w:p>
        </w:tc>
        <w:tc>
          <w:tcPr>
            <w:tcW w:type="dxa" w:w="16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27 Aug–30 Sep</w:t>
            </w:r>
          </w:p>
        </w:tc>
        <w:tc>
          <w:tcPr>
            <w:tcW w:type="dxa" w:w="282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Scan to open /game</w:t>
            </w:r>
          </w:p>
        </w:tc>
      </w:tr>
      <w:tr>
        <w:trPr>
          <w:cantSplit/>
        </w:trPr>
        <w:tc>
          <w:tcPr>
            <w:tcW w:type="dxa" w:w="16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Bulletin boards</w:t>
            </w:r>
          </w:p>
        </w:tc>
        <w:tc>
          <w:tcPr>
            <w:tcW w:type="dxa" w:w="324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Print poster at high-traffic campus points</w:t>
            </w:r>
          </w:p>
        </w:tc>
        <w:tc>
          <w:tcPr>
            <w:tcW w:type="dxa" w:w="16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By 31 Aug</w:t>
            </w:r>
          </w:p>
        </w:tc>
        <w:tc>
          <w:tcPr>
            <w:tcW w:type="dxa" w:w="282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Join this week’s topic</w:t>
            </w:r>
          </w:p>
        </w:tc>
      </w:tr>
      <w:tr>
        <w:trPr>
          <w:cantSplit/>
        </w:trPr>
        <w:tc>
          <w:tcPr>
            <w:tcW w:type="dxa" w:w="16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New-student activity</w:t>
            </w:r>
          </w:p>
        </w:tc>
        <w:tc>
          <w:tcPr>
            <w:tcW w:type="dxa" w:w="324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Club introduction plus 60-second live demo</w:t>
            </w:r>
          </w:p>
        </w:tc>
        <w:tc>
          <w:tcPr>
            <w:tcW w:type="dxa" w:w="16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Enrollment period</w:t>
            </w:r>
          </w:p>
        </w:tc>
        <w:tc>
          <w:tcPr>
            <w:tcW w:type="dxa" w:w="282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Sign in and complete a first attempt</w:t>
            </w:r>
          </w:p>
        </w:tc>
      </w:tr>
      <w:tr>
        <w:trPr>
          <w:cantSplit/>
        </w:trPr>
        <w:tc>
          <w:tcPr>
            <w:tcW w:type="dxa" w:w="16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DingTalk / club channels</w:t>
            </w:r>
          </w:p>
        </w:tc>
        <w:tc>
          <w:tcPr>
            <w:tcW w:type="dxa" w:w="324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Launch post, weekly topic card, midpoint reminder, results post</w:t>
            </w:r>
          </w:p>
        </w:tc>
        <w:tc>
          <w:tcPr>
            <w:tcW w:type="dxa" w:w="16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1–30 Sep</w:t>
            </w:r>
          </w:p>
        </w:tc>
        <w:tc>
          <w:tcPr>
            <w:tcW w:type="dxa" w:w="282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Try again—your best score counts</w:t>
            </w:r>
          </w:p>
        </w:tc>
      </w:tr>
      <w:tr>
        <w:trPr>
          <w:cantSplit/>
        </w:trPr>
        <w:tc>
          <w:tcPr>
            <w:tcW w:type="dxa" w:w="16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Leaderboard</w:t>
            </w:r>
          </w:p>
        </w:tc>
        <w:tc>
          <w:tcPr>
            <w:tcW w:type="dxa" w:w="324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Weekly ranking and participant count</w:t>
            </w:r>
          </w:p>
        </w:tc>
        <w:tc>
          <w:tcPr>
            <w:tcW w:type="dxa" w:w="16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Always on</w:t>
            </w:r>
          </w:p>
        </w:tc>
        <w:tc>
          <w:tcPr>
            <w:tcW w:type="dxa" w:w="282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Return for another round</w:t>
            </w:r>
          </w:p>
        </w:tc>
      </w:tr>
      <w:tr>
        <w:trPr>
          <w:cantSplit/>
        </w:trPr>
        <w:tc>
          <w:tcPr>
            <w:tcW w:type="dxa" w:w="16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Peer advocates</w:t>
            </w:r>
          </w:p>
        </w:tc>
        <w:tc>
          <w:tcPr>
            <w:tcW w:type="dxa" w:w="324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Staff and club members seed authentic early entries</w:t>
            </w:r>
          </w:p>
        </w:tc>
        <w:tc>
          <w:tcPr>
            <w:tcW w:type="dxa" w:w="16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Round 1</w:t>
            </w:r>
          </w:p>
        </w:tc>
        <w:tc>
          <w:tcPr>
            <w:tcW w:type="dxa" w:w="282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Model participation, not guaranteed ranking</w:t>
            </w:r>
          </w:p>
        </w:tc>
      </w:tr>
    </w:tbl>
    <w:p>
      <w:pPr>
        <w:spacing w:before="0" w:after="40" w:line="240" w:lineRule="auto"/>
      </w:pPr>
    </w:p>
    <w:p>
      <w:pPr>
        <w:pStyle w:val="Heading2"/>
      </w:pPr>
      <w:r>
        <w:t>Weekly engagement rhythm</w:t>
      </w:r>
    </w:p>
    <w:p>
      <w:pPr>
        <w:numPr>
          <w:ilvl w:val="0"/>
          <w:numId w:val="10"/>
        </w:numPr>
        <w:spacing w:after="80" w:line="290" w:lineRule="auto"/>
      </w:pPr>
      <w:r>
        <w:rPr>
          <w:rFonts w:ascii="Calibri" w:hAnsi="Calibri" w:eastAsia="Calibri"/>
          <w:color w:val="232337"/>
        </w:rPr>
        <w:t>Wednesday: announce the new topic and reset the weekly story.</w:t>
      </w:r>
    </w:p>
    <w:p>
      <w:pPr>
        <w:numPr>
          <w:ilvl w:val="0"/>
          <w:numId w:val="10"/>
        </w:numPr>
        <w:spacing w:after="80" w:line="290" w:lineRule="auto"/>
      </w:pPr>
      <w:r>
        <w:rPr>
          <w:rFonts w:ascii="Calibri" w:hAnsi="Calibri" w:eastAsia="Calibri"/>
          <w:color w:val="232337"/>
        </w:rPr>
        <w:t>Friday: share a non-identifying participation update and one preparation tip.</w:t>
      </w:r>
    </w:p>
    <w:p>
      <w:pPr>
        <w:numPr>
          <w:ilvl w:val="0"/>
          <w:numId w:val="10"/>
        </w:numPr>
        <w:spacing w:after="80" w:line="290" w:lineRule="auto"/>
      </w:pPr>
      <w:r>
        <w:rPr>
          <w:rFonts w:ascii="Calibri" w:hAnsi="Calibri" w:eastAsia="Calibri"/>
          <w:color w:val="232337"/>
        </w:rPr>
        <w:t>Monday: remind participants that repeat attempts are welcome and only the best score counts.</w:t>
      </w:r>
    </w:p>
    <w:p>
      <w:pPr>
        <w:numPr>
          <w:ilvl w:val="0"/>
          <w:numId w:val="10"/>
        </w:numPr>
        <w:spacing w:after="80" w:line="290" w:lineRule="auto"/>
      </w:pPr>
      <w:r>
        <w:rPr>
          <w:rFonts w:ascii="Calibri" w:hAnsi="Calibri" w:eastAsia="Calibri"/>
          <w:color w:val="232337"/>
        </w:rPr>
        <w:t>Tuesday: publish a final-hours message and explain the closing time.</w:t>
      </w:r>
    </w:p>
    <w:p>
      <w:pPr>
        <w:numPr>
          <w:ilvl w:val="0"/>
          <w:numId w:val="10"/>
        </w:numPr>
        <w:spacing w:after="80" w:line="290" w:lineRule="auto"/>
      </w:pPr>
      <w:r>
        <w:rPr>
          <w:rFonts w:ascii="Calibri" w:hAnsi="Calibri" w:eastAsia="Calibri"/>
          <w:color w:val="232337"/>
        </w:rPr>
        <w:t>After close: thank participants, confirm that winners are under verification, and preview the next topic.</w:t>
      </w:r>
    </w:p>
    <w:p>
      <w:pPr>
        <w:spacing w:before="100" w:after="220" w:line="283" w:lineRule="auto"/>
        <w:ind w:left="115" w:right="115"/>
        <w:shd w:fill="FFF0EC" w:val="clear"/>
        <w:pBdr>
          <w:top w:val="single" w:sz="12" w:space="8" w:color="FFF0EC"/>
          <w:left w:val="single" w:sz="12" w:space="8" w:color="FFF0EC"/>
          <w:bottom w:val="single" w:sz="12" w:space="8" w:color="FFF0EC"/>
          <w:right w:val="single" w:sz="12" w:space="8" w:color="FFF0EC"/>
        </w:pBdr>
      </w:pPr>
      <w:r>
        <w:rPr>
          <w:rFonts w:ascii="Calibri" w:hAnsi="Calibri" w:eastAsia="Calibri"/>
          <w:b/>
          <w:color w:val="30247A"/>
          <w:sz w:val="18"/>
        </w:rPr>
        <w:t xml:space="preserve">PROMOTION SAFEGUARD  </w:t>
      </w:r>
      <w:r>
        <w:rPr>
          <w:rFonts w:ascii="Calibri" w:hAnsi="Calibri" w:eastAsia="Calibri"/>
          <w:color w:val="232337"/>
          <w:sz w:val="20"/>
        </w:rPr>
        <w:t>Do not claim that every participant will receive a physical gift unless stock is secured. Use “while supplies last” and offer no-cost digital recognition to everyone who completes an eligible attempt.</w:t>
      </w:r>
    </w:p>
    <w:p>
      <w:pPr>
        <w:spacing w:before="0" w:after="140"/>
        <w:jc w:val="left"/>
        <w:keepNext/>
      </w:pPr>
      <w:r>
        <w:rPr>
          <w:rFonts w:ascii="Calibri" w:hAnsi="Calibri" w:eastAsia="Calibri"/>
          <w:b/>
          <w:caps/>
          <w:color w:val="5B4EE5"/>
          <w:sz w:val="19"/>
        </w:rPr>
        <w:t>SECTION 06</w:t>
      </w:r>
    </w:p>
    <w:p>
      <w:pPr>
        <w:pStyle w:val="Heading1"/>
        <w:spacing w:before="0"/>
      </w:pPr>
      <w:r>
        <w:t>Operations and governance</w:t>
      </w:r>
    </w:p>
    <w:p>
      <w:pPr>
        <w:spacing w:before="0" w:after="240" w:line="300" w:lineRule="auto"/>
      </w:pPr>
      <w:r>
        <w:rPr>
          <w:rFonts w:ascii="Calibri" w:hAnsi="Calibri" w:eastAsia="Calibri"/>
          <w:b/>
          <w:color w:val="30247A"/>
          <w:sz w:val="26"/>
        </w:rPr>
        <w:t>Use a simple weekly operating cadence with explicit ownership for content, platform health, promotion, winner verification, and prize fulfillment.</w:t>
      </w:r>
    </w:p>
    <w:p>
      <w:pPr>
        <w:pStyle w:val="Heading2"/>
      </w:pPr>
      <w:r>
        <w:t>Roles and ownership</w:t>
      </w:r>
    </w:p>
    <w:tbl>
      <w:tblPr>
        <w:tblStyle w:val="TableGrid"/>
        <w:tblW w:type="dxa" w:w="9360"/>
        <w:jc w:val="left"/>
        <w:tblLayout w:type="fixed"/>
        <w:tblLook w:firstColumn="1" w:firstRow="1" w:lastColumn="0" w:lastRow="0" w:noHBand="0" w:noVBand="1" w:val="04A0"/>
        <w:tblInd w:type="dxa" w:w="120"/>
      </w:tblPr>
      <w:tblGrid>
        <w:gridCol w:w="1800"/>
        <w:gridCol w:w="2000"/>
        <w:gridCol w:w="3880"/>
        <w:gridCol w:w="1680"/>
      </w:tblGrid>
      <w:tr>
        <w:trPr>
          <w:tblHeader w:val="true"/>
          <w:cantSplit/>
        </w:trPr>
        <w:tc>
          <w:tcPr>
            <w:tcW w:type="dxa" w:w="180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Workstream</w:t>
            </w:r>
          </w:p>
        </w:tc>
        <w:tc>
          <w:tcPr>
            <w:tcW w:type="dxa" w:w="200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Accountable role</w:t>
            </w:r>
          </w:p>
        </w:tc>
        <w:tc>
          <w:tcPr>
            <w:tcW w:type="dxa" w:w="388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Key responsibilities</w:t>
            </w:r>
          </w:p>
        </w:tc>
        <w:tc>
          <w:tcPr>
            <w:tcW w:type="dxa" w:w="168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Key deadline</w:t>
            </w:r>
          </w:p>
        </w:tc>
      </w:tr>
      <w:tr>
        <w:trPr>
          <w:cantSplit/>
        </w:trPr>
        <w:tc>
          <w:tcPr>
            <w:tcW w:type="dxa" w:w="18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Campaign approval</w:t>
            </w:r>
          </w:p>
        </w:tc>
        <w:tc>
          <w:tcPr>
            <w:tcW w:type="dxa" w:w="20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Activity sponsor</w:t>
            </w:r>
          </w:p>
        </w:tc>
        <w:tc>
          <w:tcPr>
            <w:tcW w:type="dxa" w:w="388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Approve format, budget ceiling, and public rules</w:t>
            </w:r>
          </w:p>
        </w:tc>
        <w:tc>
          <w:tcPr>
            <w:tcW w:type="dxa" w:w="168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14 Aug</w:t>
            </w:r>
          </w:p>
        </w:tc>
      </w:tr>
      <w:tr>
        <w:trPr>
          <w:cantSplit/>
        </w:trPr>
        <w:tc>
          <w:tcPr>
            <w:tcW w:type="dxa" w:w="18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Program operations</w:t>
            </w:r>
          </w:p>
        </w:tc>
        <w:tc>
          <w:tcPr>
            <w:tcW w:type="dxa" w:w="20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Project lead</w:t>
            </w:r>
          </w:p>
        </w:tc>
        <w:tc>
          <w:tcPr>
            <w:tcW w:type="dxa" w:w="388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Own schedule, checklist, issue log, and post-campaign report</w:t>
            </w:r>
          </w:p>
        </w:tc>
        <w:tc>
          <w:tcPr>
            <w:tcW w:type="dxa" w:w="168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Weekly</w:t>
            </w:r>
          </w:p>
        </w:tc>
      </w:tr>
      <w:tr>
        <w:trPr>
          <w:cantSplit/>
        </w:trPr>
        <w:tc>
          <w:tcPr>
            <w:tcW w:type="dxa" w:w="18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Platform</w:t>
            </w:r>
          </w:p>
        </w:tc>
        <w:tc>
          <w:tcPr>
            <w:tcW w:type="dxa" w:w="20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Technical lead</w:t>
            </w:r>
          </w:p>
        </w:tc>
        <w:tc>
          <w:tcPr>
            <w:tcW w:type="dxa" w:w="388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Validate /game, monitor failures, preserve data and privacy controls</w:t>
            </w:r>
          </w:p>
        </w:tc>
        <w:tc>
          <w:tcPr>
            <w:tcW w:type="dxa" w:w="168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31 Aug / daily</w:t>
            </w:r>
          </w:p>
        </w:tc>
      </w:tr>
      <w:tr>
        <w:trPr>
          <w:cantSplit/>
        </w:trPr>
        <w:tc>
          <w:tcPr>
            <w:tcW w:type="dxa" w:w="18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Topics and learning</w:t>
            </w:r>
          </w:p>
        </w:tc>
        <w:tc>
          <w:tcPr>
            <w:tcW w:type="dxa" w:w="20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English Club content lead</w:t>
            </w:r>
          </w:p>
        </w:tc>
        <w:tc>
          <w:tcPr>
            <w:tcW w:type="dxa" w:w="388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Confirm four topics, preparation tips, and participant guidance</w:t>
            </w:r>
          </w:p>
        </w:tc>
        <w:tc>
          <w:tcPr>
            <w:tcW w:type="dxa" w:w="168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21 Aug</w:t>
            </w:r>
          </w:p>
        </w:tc>
      </w:tr>
      <w:tr>
        <w:trPr>
          <w:cantSplit/>
        </w:trPr>
        <w:tc>
          <w:tcPr>
            <w:tcW w:type="dxa" w:w="18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Promotion</w:t>
            </w:r>
          </w:p>
        </w:tc>
        <w:tc>
          <w:tcPr>
            <w:tcW w:type="dxa" w:w="20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Communications lead</w:t>
            </w:r>
          </w:p>
        </w:tc>
        <w:tc>
          <w:tcPr>
            <w:tcW w:type="dxa" w:w="388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Deploy posters, digital posts, reminders, and results copy</w:t>
            </w:r>
          </w:p>
        </w:tc>
        <w:tc>
          <w:tcPr>
            <w:tcW w:type="dxa" w:w="168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27 Aug onward</w:t>
            </w:r>
          </w:p>
        </w:tc>
      </w:tr>
      <w:tr>
        <w:trPr>
          <w:cantSplit/>
        </w:trPr>
        <w:tc>
          <w:tcPr>
            <w:tcW w:type="dxa" w:w="18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In-kind prizes</w:t>
            </w:r>
          </w:p>
        </w:tc>
        <w:tc>
          <w:tcPr>
            <w:tcW w:type="dxa" w:w="20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Teacher Zhou / PR liaison</w:t>
            </w:r>
          </w:p>
        </w:tc>
        <w:tc>
          <w:tcPr>
            <w:tcW w:type="dxa" w:w="388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Request books and branded inventory by email</w:t>
            </w:r>
          </w:p>
        </w:tc>
        <w:tc>
          <w:tcPr>
            <w:tcW w:type="dxa" w:w="168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14 Aug</w:t>
            </w:r>
          </w:p>
        </w:tc>
      </w:tr>
      <w:tr>
        <w:trPr>
          <w:cantSplit/>
        </w:trPr>
        <w:tc>
          <w:tcPr>
            <w:tcW w:type="dxa" w:w="18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Winner verification</w:t>
            </w:r>
          </w:p>
        </w:tc>
        <w:tc>
          <w:tcPr>
            <w:tcW w:type="dxa" w:w="20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Two-person review panel</w:t>
            </w:r>
          </w:p>
        </w:tc>
        <w:tc>
          <w:tcPr>
            <w:tcW w:type="dxa" w:w="388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Review top-five entries and document decisions</w:t>
            </w:r>
          </w:p>
        </w:tc>
        <w:tc>
          <w:tcPr>
            <w:tcW w:type="dxa" w:w="168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3 workdays</w:t>
            </w:r>
          </w:p>
        </w:tc>
      </w:tr>
    </w:tbl>
    <w:p>
      <w:pPr>
        <w:spacing w:before="0" w:after="40" w:line="240" w:lineRule="auto"/>
      </w:pPr>
    </w:p>
    <w:p>
      <w:pPr>
        <w:pStyle w:val="Heading2"/>
      </w:pPr>
      <w:r>
        <w:t>Pre-launch checklist</w:t>
      </w:r>
    </w:p>
    <w:p>
      <w:pPr>
        <w:spacing w:after="80" w:line="290" w:lineRule="auto"/>
        <w:ind w:left="540" w:hanging="271"/>
      </w:pPr>
      <w:r>
        <w:rPr>
          <w:rFonts w:ascii="Calibri" w:hAnsi="Calibri" w:eastAsia="Calibri"/>
          <w:b/>
          <w:color w:val="30247A"/>
        </w:rPr>
        <w:t xml:space="preserve">☐  </w:t>
      </w:r>
      <w:r>
        <w:rPr>
          <w:rFonts w:ascii="Calibri" w:hAnsi="Calibri" w:eastAsia="Calibri"/>
          <w:color w:val="232337"/>
        </w:rPr>
        <w:t>Confirm the September rules, ranking method, and prize language in writing.</w:t>
      </w:r>
    </w:p>
    <w:p>
      <w:pPr>
        <w:spacing w:after="80" w:line="290" w:lineRule="auto"/>
        <w:ind w:left="540" w:hanging="271"/>
      </w:pPr>
      <w:r>
        <w:rPr>
          <w:rFonts w:ascii="Calibri" w:hAnsi="Calibri" w:eastAsia="Calibri"/>
          <w:b/>
          <w:color w:val="30247A"/>
        </w:rPr>
        <w:t xml:space="preserve">☐  </w:t>
      </w:r>
      <w:r>
        <w:rPr>
          <w:rFonts w:ascii="Calibri" w:hAnsi="Calibri" w:eastAsia="Calibri"/>
          <w:color w:val="232337"/>
        </w:rPr>
        <w:t>Verify production uses the original production environment and preserves recordings and questions as persistent user data.</w:t>
      </w:r>
    </w:p>
    <w:p>
      <w:pPr>
        <w:spacing w:after="80" w:line="290" w:lineRule="auto"/>
        <w:ind w:left="540" w:hanging="271"/>
      </w:pPr>
      <w:r>
        <w:rPr>
          <w:rFonts w:ascii="Calibri" w:hAnsi="Calibri" w:eastAsia="Calibri"/>
          <w:b/>
          <w:color w:val="30247A"/>
        </w:rPr>
        <w:t xml:space="preserve">☐  </w:t>
      </w:r>
      <w:r>
        <w:rPr>
          <w:rFonts w:ascii="Calibri" w:hAnsi="Calibri" w:eastAsia="Calibri"/>
          <w:color w:val="232337"/>
        </w:rPr>
        <w:t>Test DingTalk sign-in, privacy consent, camera/microphone checks, preparation countdown, recording, save, evaluation, alias, history, and leaderboard.</w:t>
      </w:r>
    </w:p>
    <w:p>
      <w:pPr>
        <w:spacing w:after="80" w:line="290" w:lineRule="auto"/>
        <w:ind w:left="540" w:hanging="271"/>
      </w:pPr>
      <w:r>
        <w:rPr>
          <w:rFonts w:ascii="Calibri" w:hAnsi="Calibri" w:eastAsia="Calibri"/>
          <w:b/>
          <w:color w:val="30247A"/>
        </w:rPr>
        <w:t xml:space="preserve">☐  </w:t>
      </w:r>
      <w:r>
        <w:rPr>
          <w:rFonts w:ascii="Calibri" w:hAnsi="Calibri" w:eastAsia="Calibri"/>
          <w:color w:val="232337"/>
        </w:rPr>
        <w:t>Confirm all four weekly topics and check that challenge dates align with Asia/Shanghai time.</w:t>
      </w:r>
    </w:p>
    <w:p>
      <w:pPr>
        <w:spacing w:after="80" w:line="290" w:lineRule="auto"/>
        <w:ind w:left="540" w:hanging="271"/>
      </w:pPr>
      <w:r>
        <w:rPr>
          <w:rFonts w:ascii="Calibri" w:hAnsi="Calibri" w:eastAsia="Calibri"/>
          <w:b/>
          <w:color w:val="30247A"/>
        </w:rPr>
        <w:t xml:space="preserve">☐  </w:t>
      </w:r>
      <w:r>
        <w:rPr>
          <w:rFonts w:ascii="Calibri" w:hAnsi="Calibri" w:eastAsia="Calibri"/>
          <w:color w:val="232337"/>
        </w:rPr>
        <w:t>Create QR-coded elevator and print assets that open the production /game route.</w:t>
      </w:r>
    </w:p>
    <w:p>
      <w:pPr>
        <w:spacing w:after="80" w:line="290" w:lineRule="auto"/>
        <w:ind w:left="540" w:hanging="271"/>
      </w:pPr>
      <w:r>
        <w:rPr>
          <w:rFonts w:ascii="Calibri" w:hAnsi="Calibri" w:eastAsia="Calibri"/>
          <w:b/>
          <w:color w:val="30247A"/>
        </w:rPr>
        <w:t xml:space="preserve">☐  </w:t>
      </w:r>
      <w:r>
        <w:rPr>
          <w:rFonts w:ascii="Calibri" w:hAnsi="Calibri" w:eastAsia="Calibri"/>
          <w:color w:val="232337"/>
        </w:rPr>
        <w:t>Complete a staff pilot with at least five distinct accounts and log usability issues.</w:t>
      </w:r>
    </w:p>
    <w:p>
      <w:pPr>
        <w:spacing w:after="80" w:line="290" w:lineRule="auto"/>
        <w:ind w:left="540" w:hanging="271"/>
      </w:pPr>
      <w:r>
        <w:rPr>
          <w:rFonts w:ascii="Calibri" w:hAnsi="Calibri" w:eastAsia="Calibri"/>
          <w:b/>
          <w:color w:val="30247A"/>
        </w:rPr>
        <w:t xml:space="preserve">☐  </w:t>
      </w:r>
      <w:r>
        <w:rPr>
          <w:rFonts w:ascii="Calibri" w:hAnsi="Calibri" w:eastAsia="Calibri"/>
          <w:color w:val="232337"/>
        </w:rPr>
        <w:t>Verify a manual winner-review process and a participant support contact.</w:t>
      </w:r>
    </w:p>
    <w:p>
      <w:pPr>
        <w:spacing w:after="80" w:line="290" w:lineRule="auto"/>
        <w:ind w:left="540" w:hanging="271"/>
      </w:pPr>
      <w:r>
        <w:rPr>
          <w:rFonts w:ascii="Calibri" w:hAnsi="Calibri" w:eastAsia="Calibri"/>
          <w:b/>
          <w:color w:val="30247A"/>
        </w:rPr>
        <w:t xml:space="preserve">☐  </w:t>
      </w:r>
      <w:r>
        <w:rPr>
          <w:rFonts w:ascii="Calibri" w:hAnsi="Calibri" w:eastAsia="Calibri"/>
          <w:color w:val="232337"/>
        </w:rPr>
        <w:t>Secure prize stock or publish conservative “subject to availability” wording.</w:t>
      </w:r>
    </w:p>
    <w:p>
      <w:pPr>
        <w:pStyle w:val="Heading2"/>
      </w:pPr>
      <w:r>
        <w:t>Weekly operating cycle</w:t>
      </w:r>
    </w:p>
    <w:p>
      <w:pPr>
        <w:numPr>
          <w:ilvl w:val="0"/>
          <w:numId w:val="12"/>
        </w:numPr>
        <w:spacing w:after="80" w:line="290" w:lineRule="auto"/>
      </w:pPr>
      <w:r>
        <w:rPr>
          <w:rFonts w:ascii="Calibri" w:hAnsi="Calibri" w:eastAsia="Calibri"/>
          <w:color w:val="232337"/>
        </w:rPr>
        <w:t>Open: confirm the new topic, timestamps, and empty/current leaderboard state.</w:t>
      </w:r>
    </w:p>
    <w:p>
      <w:pPr>
        <w:numPr>
          <w:ilvl w:val="0"/>
          <w:numId w:val="12"/>
        </w:numPr>
        <w:spacing w:after="80" w:line="290" w:lineRule="auto"/>
      </w:pPr>
      <w:r>
        <w:rPr>
          <w:rFonts w:ascii="Calibri" w:hAnsi="Calibri" w:eastAsia="Calibri"/>
          <w:color w:val="232337"/>
        </w:rPr>
        <w:t>Monitor: review save/evaluation failures and unusual score or attempt patterns without exposing recordings.</w:t>
      </w:r>
    </w:p>
    <w:p>
      <w:pPr>
        <w:numPr>
          <w:ilvl w:val="0"/>
          <w:numId w:val="12"/>
        </w:numPr>
        <w:spacing w:after="80" w:line="290" w:lineRule="auto"/>
      </w:pPr>
      <w:r>
        <w:rPr>
          <w:rFonts w:ascii="Calibri" w:hAnsi="Calibri" w:eastAsia="Calibri"/>
          <w:color w:val="232337"/>
        </w:rPr>
        <w:t>Engage: publish the planned topic card, midpoint update, and closing reminder.</w:t>
      </w:r>
    </w:p>
    <w:p>
      <w:pPr>
        <w:numPr>
          <w:ilvl w:val="0"/>
          <w:numId w:val="12"/>
        </w:numPr>
        <w:spacing w:after="80" w:line="290" w:lineRule="auto"/>
      </w:pPr>
      <w:r>
        <w:rPr>
          <w:rFonts w:ascii="Calibri" w:hAnsi="Calibri" w:eastAsia="Calibri"/>
          <w:color w:val="232337"/>
        </w:rPr>
        <w:t>Close: snapshot the ranking and participant count immediately after the weekly deadline.</w:t>
      </w:r>
    </w:p>
    <w:p>
      <w:pPr>
        <w:numPr>
          <w:ilvl w:val="0"/>
          <w:numId w:val="12"/>
        </w:numPr>
        <w:spacing w:after="80" w:line="290" w:lineRule="auto"/>
      </w:pPr>
      <w:r>
        <w:rPr>
          <w:rFonts w:ascii="Calibri" w:hAnsi="Calibri" w:eastAsia="Calibri"/>
          <w:color w:val="232337"/>
        </w:rPr>
        <w:t>Review: examine only the minimum necessary winner evidence and record any decision consistently.</w:t>
      </w:r>
    </w:p>
    <w:p>
      <w:pPr>
        <w:numPr>
          <w:ilvl w:val="0"/>
          <w:numId w:val="12"/>
        </w:numPr>
        <w:spacing w:after="80" w:line="290" w:lineRule="auto"/>
      </w:pPr>
      <w:r>
        <w:rPr>
          <w:rFonts w:ascii="Calibri" w:hAnsi="Calibri" w:eastAsia="Calibri"/>
          <w:color w:val="232337"/>
        </w:rPr>
        <w:t>Report: capture participation, attempts, completion rate, issues, and actions for the next round.</w:t>
      </w:r>
    </w:p>
    <w:p>
      <w:pPr>
        <w:spacing w:before="0" w:after="140"/>
        <w:jc w:val="left"/>
        <w:keepNext/>
      </w:pPr>
      <w:r>
        <w:rPr>
          <w:rFonts w:ascii="Calibri" w:hAnsi="Calibri" w:eastAsia="Calibri"/>
          <w:b/>
          <w:caps/>
          <w:color w:val="5B4EE5"/>
          <w:sz w:val="19"/>
        </w:rPr>
        <w:t>SECTION 07</w:t>
      </w:r>
    </w:p>
    <w:p>
      <w:pPr>
        <w:pStyle w:val="Heading1"/>
        <w:spacing w:before="0"/>
      </w:pPr>
      <w:r>
        <w:t>Fair play, privacy, and technical roadmap</w:t>
      </w:r>
    </w:p>
    <w:p>
      <w:pPr>
        <w:spacing w:before="0" w:after="240" w:line="300" w:lineRule="auto"/>
      </w:pPr>
      <w:r>
        <w:rPr>
          <w:rFonts w:ascii="Calibri" w:hAnsi="Calibri" w:eastAsia="Calibri"/>
          <w:b/>
          <w:color w:val="30247A"/>
          <w:sz w:val="26"/>
        </w:rPr>
        <w:t>Protect trust without turning a friendly learning event into a surveillance exercise. September should use clear rules and targeted verification; stronger controls belong behind explicit future decision gates.</w:t>
      </w:r>
    </w:p>
    <w:p>
      <w:pPr>
        <w:pStyle w:val="Heading2"/>
      </w:pPr>
      <w:r>
        <w:t>September fair-play standard</w:t>
      </w:r>
    </w:p>
    <w:p>
      <w:pPr>
        <w:numPr>
          <w:ilvl w:val="0"/>
          <w:numId w:val="10"/>
        </w:numPr>
        <w:spacing w:after="80" w:line="290" w:lineRule="auto"/>
      </w:pPr>
      <w:r>
        <w:rPr>
          <w:rFonts w:ascii="Calibri" w:hAnsi="Calibri" w:eastAsia="Calibri"/>
          <w:color w:val="232337"/>
        </w:rPr>
        <w:t>Preparation is allowed. Verbatim reading from a script or teleprompter during recording is not award-eligible.</w:t>
      </w:r>
    </w:p>
    <w:p>
      <w:pPr>
        <w:numPr>
          <w:ilvl w:val="0"/>
          <w:numId w:val="10"/>
        </w:numPr>
        <w:spacing w:after="80" w:line="290" w:lineRule="auto"/>
      </w:pPr>
      <w:r>
        <w:rPr>
          <w:rFonts w:ascii="Calibri" w:hAnsi="Calibri" w:eastAsia="Calibri"/>
          <w:color w:val="232337"/>
        </w:rPr>
        <w:t>Pre-recorded speech, synthetic voice, external audio playback, lip-syncing, and account lending are prohibited.</w:t>
      </w:r>
    </w:p>
    <w:p>
      <w:pPr>
        <w:numPr>
          <w:ilvl w:val="0"/>
          <w:numId w:val="10"/>
        </w:numPr>
        <w:spacing w:after="80" w:line="290" w:lineRule="auto"/>
      </w:pPr>
      <w:r>
        <w:rPr>
          <w:rFonts w:ascii="Calibri" w:hAnsi="Calibri" w:eastAsia="Calibri"/>
          <w:color w:val="232337"/>
        </w:rPr>
        <w:t>The camera and microphone must remain available throughout the required recording. Interrupted required tracks make an upload ineligible.</w:t>
      </w:r>
    </w:p>
    <w:p>
      <w:pPr>
        <w:numPr>
          <w:ilvl w:val="0"/>
          <w:numId w:val="10"/>
        </w:numPr>
        <w:spacing w:after="80" w:line="290" w:lineRule="auto"/>
      </w:pPr>
      <w:r>
        <w:rPr>
          <w:rFonts w:ascii="Calibri" w:hAnsi="Calibri" w:eastAsia="Calibri"/>
          <w:color w:val="232337"/>
        </w:rPr>
        <w:t>Potential concerns are reviewed by people before any disqualification. Gaze direction alone is not proof of misconduct.</w:t>
      </w:r>
    </w:p>
    <w:p>
      <w:pPr>
        <w:numPr>
          <w:ilvl w:val="0"/>
          <w:numId w:val="10"/>
        </w:numPr>
        <w:spacing w:after="80" w:line="290" w:lineRule="auto"/>
      </w:pPr>
      <w:r>
        <w:rPr>
          <w:rFonts w:ascii="Calibri" w:hAnsi="Calibri" w:eastAsia="Calibri"/>
          <w:color w:val="232337"/>
        </w:rPr>
        <w:t>If material doubt remains, the review panel may request a short live follow-up on the same general topic.</w:t>
      </w:r>
    </w:p>
    <w:p>
      <w:pPr>
        <w:numPr>
          <w:ilvl w:val="0"/>
          <w:numId w:val="10"/>
        </w:numPr>
        <w:spacing w:after="80" w:line="290" w:lineRule="auto"/>
      </w:pPr>
      <w:r>
        <w:rPr>
          <w:rFonts w:ascii="Calibri" w:hAnsi="Calibri" w:eastAsia="Calibri"/>
          <w:color w:val="232337"/>
        </w:rPr>
        <w:t>Unlimited attempts remain available; enforcement focuses on award eligibility, not punishing practice.</w:t>
      </w:r>
    </w:p>
    <w:p>
      <w:pPr>
        <w:pStyle w:val="Heading2"/>
      </w:pPr>
      <w:r>
        <w:t>Control roadmap</w:t>
      </w:r>
    </w:p>
    <w:tbl>
      <w:tblPr>
        <w:tblStyle w:val="TableGrid"/>
        <w:tblW w:type="dxa" w:w="9360"/>
        <w:jc w:val="left"/>
        <w:tblLayout w:type="fixed"/>
        <w:tblLook w:firstColumn="1" w:firstRow="1" w:lastColumn="0" w:lastRow="0" w:noHBand="0" w:noVBand="1" w:val="04A0"/>
        <w:tblInd w:type="dxa" w:w="120"/>
      </w:tblPr>
      <w:tblGrid>
        <w:gridCol w:w="1900"/>
        <w:gridCol w:w="5120"/>
        <w:gridCol w:w="2340"/>
      </w:tblGrid>
      <w:tr>
        <w:trPr>
          <w:tblHeader w:val="true"/>
          <w:cantSplit/>
        </w:trPr>
        <w:tc>
          <w:tcPr>
            <w:tcW w:type="dxa" w:w="190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Stage</w:t>
            </w:r>
          </w:p>
        </w:tc>
        <w:tc>
          <w:tcPr>
            <w:tcW w:type="dxa" w:w="512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Controls</w:t>
            </w:r>
          </w:p>
        </w:tc>
        <w:tc>
          <w:tcPr>
            <w:tcW w:type="dxa" w:w="234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Decision gate</w:t>
            </w:r>
          </w:p>
        </w:tc>
      </w:tr>
      <w:tr>
        <w:trPr>
          <w:cantSplit/>
        </w:trPr>
        <w:tc>
          <w:tcPr>
            <w:tcW w:type="dxa" w:w="19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September baseline</w:t>
            </w:r>
          </w:p>
        </w:tc>
        <w:tc>
          <w:tcPr>
            <w:tcW w:type="dxa" w:w="512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DingTalk authentication; signed session; openId ownership; fixed topic; live camera/microphone recording; two-minute limit; manual top-five review</w:t>
            </w:r>
          </w:p>
        </w:tc>
        <w:tc>
          <w:tcPr>
            <w:tcW w:type="dxa" w:w="234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Required for launch</w:t>
            </w:r>
          </w:p>
        </w:tc>
      </w:tr>
      <w:tr>
        <w:trPr>
          <w:cantSplit/>
        </w:trPr>
        <w:tc>
          <w:tcPr>
            <w:tcW w:type="dxa" w:w="19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Near-term hardening</w:t>
            </w:r>
          </w:p>
        </w:tc>
        <w:tc>
          <w:tcPr>
            <w:tcW w:type="dxa" w:w="512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Winner re-check flow; randomized short follow-up; anomaly flags for repeated identical transcripts or suspicious timing; documented appeal path</w:t>
            </w:r>
          </w:p>
        </w:tc>
        <w:tc>
          <w:tcPr>
            <w:tcW w:type="dxa" w:w="234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Add if disputes or prize value increase</w:t>
            </w:r>
          </w:p>
        </w:tc>
      </w:tr>
      <w:tr>
        <w:trPr>
          <w:cantSplit/>
        </w:trPr>
        <w:tc>
          <w:tcPr>
            <w:tcW w:type="dxa" w:w="19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7"/>
              </w:rPr>
              <w:t>Research only</w:t>
            </w:r>
          </w:p>
        </w:tc>
        <w:tc>
          <w:tcPr>
            <w:tcW w:type="dxa" w:w="512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Gaze/head-pose indicators, replay/synthetic-audio detection, liveness signals, or dual-camera finals</w:t>
            </w:r>
          </w:p>
        </w:tc>
        <w:tc>
          <w:tcPr>
            <w:tcW w:type="dxa" w:w="234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7"/>
              </w:rPr>
              <w:t>Pilot for accuracy, privacy, bias, and participant friction before use</w:t>
            </w:r>
          </w:p>
        </w:tc>
      </w:tr>
    </w:tbl>
    <w:p>
      <w:pPr>
        <w:spacing w:before="0" w:after="40" w:line="240" w:lineRule="auto"/>
      </w:pPr>
    </w:p>
    <w:p>
      <w:pPr>
        <w:spacing w:before="100" w:after="220" w:line="283" w:lineRule="auto"/>
        <w:ind w:left="115" w:right="115"/>
        <w:shd w:fill="FFF0EC" w:val="clear"/>
        <w:pBdr>
          <w:top w:val="single" w:sz="12" w:space="8" w:color="FFF0EC"/>
          <w:left w:val="single" w:sz="12" w:space="8" w:color="FFF0EC"/>
          <w:bottom w:val="single" w:sz="12" w:space="8" w:color="FFF0EC"/>
          <w:right w:val="single" w:sz="12" w:space="8" w:color="FFF0EC"/>
        </w:pBdr>
      </w:pPr>
      <w:r>
        <w:rPr>
          <w:rFonts w:ascii="Calibri" w:hAnsi="Calibri" w:eastAsia="Calibri"/>
          <w:b/>
          <w:color w:val="30247A"/>
          <w:sz w:val="18"/>
        </w:rPr>
        <w:t xml:space="preserve">CURRENT TECHNICAL BOUNDARY  </w:t>
      </w:r>
      <w:r>
        <w:rPr>
          <w:rFonts w:ascii="Calibri" w:hAnsi="Calibri" w:eastAsia="Calibri"/>
          <w:color w:val="232337"/>
          <w:sz w:val="20"/>
        </w:rPr>
        <w:t>The existing system does not verify that a voice is the participant’s natural live voice, does not detect teleprompters, and does not perform multi-camera monitoring. These are roadmap items, not launch claims.</w:t>
      </w:r>
    </w:p>
    <w:p>
      <w:pPr>
        <w:pStyle w:val="Heading2"/>
      </w:pPr>
      <w:r>
        <w:t>Privacy and data principles</w:t>
      </w:r>
    </w:p>
    <w:p>
      <w:pPr>
        <w:numPr>
          <w:ilvl w:val="0"/>
          <w:numId w:val="10"/>
        </w:numPr>
        <w:spacing w:after="80" w:line="290" w:lineRule="auto"/>
      </w:pPr>
      <w:r>
        <w:rPr>
          <w:rFonts w:ascii="Calibri" w:hAnsi="Calibri" w:eastAsia="Calibri"/>
          <w:color w:val="232337"/>
        </w:rPr>
        <w:t>Keep question generation and /game entry behind authentication and the current versioned privacy consent.</w:t>
      </w:r>
    </w:p>
    <w:p>
      <w:pPr>
        <w:numPr>
          <w:ilvl w:val="0"/>
          <w:numId w:val="10"/>
        </w:numPr>
        <w:spacing w:after="80" w:line="290" w:lineRule="auto"/>
      </w:pPr>
      <w:r>
        <w:rPr>
          <w:rFonts w:ascii="Calibri" w:hAnsi="Calibri" w:eastAsia="Calibri"/>
          <w:color w:val="232337"/>
        </w:rPr>
        <w:t>Use DingTalk openId as the ownership key; never trust a client-supplied participant name.</w:t>
      </w:r>
    </w:p>
    <w:p>
      <w:pPr>
        <w:numPr>
          <w:ilvl w:val="0"/>
          <w:numId w:val="10"/>
        </w:numPr>
        <w:spacing w:after="80" w:line="290" w:lineRule="auto"/>
      </w:pPr>
      <w:r>
        <w:rPr>
          <w:rFonts w:ascii="Calibri" w:hAnsi="Calibri" w:eastAsia="Calibri"/>
          <w:color w:val="232337"/>
        </w:rPr>
        <w:t>Do not publicly serve recordings. Keep video access and history owner-filtered.</w:t>
      </w:r>
    </w:p>
    <w:p>
      <w:pPr>
        <w:numPr>
          <w:ilvl w:val="0"/>
          <w:numId w:val="10"/>
        </w:numPr>
        <w:spacing w:after="80" w:line="290" w:lineRule="auto"/>
      </w:pPr>
      <w:r>
        <w:rPr>
          <w:rFonts w:ascii="Calibri" w:hAnsi="Calibri" w:eastAsia="Calibri"/>
          <w:color w:val="232337"/>
        </w:rPr>
        <w:t>Publish only rank, chosen display name, score, and attempt count on the leaderboard.</w:t>
      </w:r>
    </w:p>
    <w:p>
      <w:pPr>
        <w:numPr>
          <w:ilvl w:val="0"/>
          <w:numId w:val="10"/>
        </w:numPr>
        <w:spacing w:after="80" w:line="290" w:lineRule="auto"/>
      </w:pPr>
      <w:r>
        <w:rPr>
          <w:rFonts w:ascii="Calibri" w:hAnsi="Calibri" w:eastAsia="Calibri"/>
          <w:color w:val="232337"/>
        </w:rPr>
        <w:t>Use the minimum necessary evidence for winner review and restrict access to the review panel.</w:t>
      </w:r>
    </w:p>
    <w:p>
      <w:pPr>
        <w:numPr>
          <w:ilvl w:val="0"/>
          <w:numId w:val="10"/>
        </w:numPr>
        <w:spacing w:after="80" w:line="290" w:lineRule="auto"/>
      </w:pPr>
      <w:r>
        <w:rPr>
          <w:rFonts w:ascii="Calibri" w:hAnsi="Calibri" w:eastAsia="Calibri"/>
          <w:color w:val="232337"/>
        </w:rPr>
        <w:t>If advanced biometric or behavioral detection is proposed, conduct a separate privacy and fairness review before implementation.</w:t>
      </w:r>
    </w:p>
    <w:p>
      <w:pPr>
        <w:spacing w:before="0" w:after="140"/>
        <w:jc w:val="left"/>
        <w:keepNext/>
      </w:pPr>
      <w:r>
        <w:rPr>
          <w:rFonts w:ascii="Calibri" w:hAnsi="Calibri" w:eastAsia="Calibri"/>
          <w:b/>
          <w:caps/>
          <w:color w:val="5B4EE5"/>
          <w:sz w:val="19"/>
        </w:rPr>
        <w:t>SECTION 08</w:t>
      </w:r>
    </w:p>
    <w:p>
      <w:pPr>
        <w:pStyle w:val="Heading1"/>
        <w:spacing w:before="0"/>
      </w:pPr>
      <w:r>
        <w:t>Measurement, risk, and reporting</w:t>
      </w:r>
    </w:p>
    <w:p>
      <w:pPr>
        <w:spacing w:before="0" w:after="240" w:line="300" w:lineRule="auto"/>
      </w:pPr>
      <w:r>
        <w:rPr>
          <w:rFonts w:ascii="Calibri" w:hAnsi="Calibri" w:eastAsia="Calibri"/>
          <w:b/>
          <w:color w:val="30247A"/>
          <w:sz w:val="26"/>
        </w:rPr>
        <w:t>Measure whether the campaign creates sustainable practice, not only a high top score. Use weekly learning loops and a short final report to decide whether the game becomes a monthly club program.</w:t>
      </w:r>
    </w:p>
    <w:p>
      <w:pPr>
        <w:pStyle w:val="Heading2"/>
      </w:pPr>
      <w:r>
        <w:t>Measurement dashboard</w:t>
      </w:r>
    </w:p>
    <w:tbl>
      <w:tblPr>
        <w:tblStyle w:val="TableGrid"/>
        <w:tblW w:type="dxa" w:w="9360"/>
        <w:jc w:val="left"/>
        <w:tblLayout w:type="fixed"/>
        <w:tblLook w:firstColumn="1" w:firstRow="1" w:lastColumn="0" w:lastRow="0" w:noHBand="0" w:noVBand="1" w:val="04A0"/>
        <w:tblInd w:type="dxa" w:w="120"/>
      </w:tblPr>
      <w:tblGrid>
        <w:gridCol w:w="1900"/>
        <w:gridCol w:w="3870"/>
        <w:gridCol w:w="1650"/>
        <w:gridCol w:w="1940"/>
      </w:tblGrid>
      <w:tr>
        <w:trPr>
          <w:tblHeader w:val="true"/>
          <w:cantSplit/>
        </w:trPr>
        <w:tc>
          <w:tcPr>
            <w:tcW w:type="dxa" w:w="190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Metric</w:t>
            </w:r>
          </w:p>
        </w:tc>
        <w:tc>
          <w:tcPr>
            <w:tcW w:type="dxa" w:w="387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Definition</w:t>
            </w:r>
          </w:p>
        </w:tc>
        <w:tc>
          <w:tcPr>
            <w:tcW w:type="dxa" w:w="165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Review cadence</w:t>
            </w:r>
          </w:p>
        </w:tc>
        <w:tc>
          <w:tcPr>
            <w:tcW w:type="dxa" w:w="194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Decision use</w:t>
            </w:r>
          </w:p>
        </w:tc>
      </w:tr>
      <w:tr>
        <w:trPr>
          <w:cantSplit/>
        </w:trPr>
        <w:tc>
          <w:tcPr>
            <w:tcW w:type="dxa" w:w="19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Unique participants</w:t>
            </w:r>
          </w:p>
        </w:tc>
        <w:tc>
          <w:tcPr>
            <w:tcW w:type="dxa" w:w="387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Distinct authenticated users with ≥1 completed eligible evaluation</w:t>
            </w:r>
          </w:p>
        </w:tc>
        <w:tc>
          <w:tcPr>
            <w:tcW w:type="dxa" w:w="16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Weekly</w:t>
            </w:r>
          </w:p>
        </w:tc>
        <w:tc>
          <w:tcPr>
            <w:tcW w:type="dxa" w:w="194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Reach and recruitment</w:t>
            </w:r>
          </w:p>
        </w:tc>
      </w:tr>
      <w:tr>
        <w:trPr>
          <w:cantSplit/>
        </w:trPr>
        <w:tc>
          <w:tcPr>
            <w:tcW w:type="dxa" w:w="19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Completed attempts</w:t>
            </w:r>
          </w:p>
        </w:tc>
        <w:tc>
          <w:tcPr>
            <w:tcW w:type="dxa" w:w="387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Saved /game answers with completed evaluation</w:t>
            </w:r>
          </w:p>
        </w:tc>
        <w:tc>
          <w:tcPr>
            <w:tcW w:type="dxa" w:w="16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Daily / weekly</w:t>
            </w:r>
          </w:p>
        </w:tc>
        <w:tc>
          <w:tcPr>
            <w:tcW w:type="dxa" w:w="194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Practice volume</w:t>
            </w:r>
          </w:p>
        </w:tc>
      </w:tr>
      <w:tr>
        <w:trPr>
          <w:cantSplit/>
        </w:trPr>
        <w:tc>
          <w:tcPr>
            <w:tcW w:type="dxa" w:w="19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Repeat rate</w:t>
            </w:r>
          </w:p>
        </w:tc>
        <w:tc>
          <w:tcPr>
            <w:tcW w:type="dxa" w:w="387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Participants with ≥2 completed attempts ÷ unique participants</w:t>
            </w:r>
          </w:p>
        </w:tc>
        <w:tc>
          <w:tcPr>
            <w:tcW w:type="dxa" w:w="16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Weekly</w:t>
            </w:r>
          </w:p>
        </w:tc>
        <w:tc>
          <w:tcPr>
            <w:tcW w:type="dxa" w:w="194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Learning engagement</w:t>
            </w:r>
          </w:p>
        </w:tc>
      </w:tr>
      <w:tr>
        <w:trPr>
          <w:cantSplit/>
        </w:trPr>
        <w:tc>
          <w:tcPr>
            <w:tcW w:type="dxa" w:w="19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Evaluation completion</w:t>
            </w:r>
          </w:p>
        </w:tc>
        <w:tc>
          <w:tcPr>
            <w:tcW w:type="dxa" w:w="387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Completed evaluations ÷ saved eligible recordings</w:t>
            </w:r>
          </w:p>
        </w:tc>
        <w:tc>
          <w:tcPr>
            <w:tcW w:type="dxa" w:w="16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Daily</w:t>
            </w:r>
          </w:p>
        </w:tc>
        <w:tc>
          <w:tcPr>
            <w:tcW w:type="dxa" w:w="194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Platform reliability</w:t>
            </w:r>
          </w:p>
        </w:tc>
      </w:tr>
      <w:tr>
        <w:trPr>
          <w:cantSplit/>
        </w:trPr>
        <w:tc>
          <w:tcPr>
            <w:tcW w:type="dxa" w:w="19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Score improvement</w:t>
            </w:r>
          </w:p>
        </w:tc>
        <w:tc>
          <w:tcPr>
            <w:tcW w:type="dxa" w:w="387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Best score minus first completed score for repeat participants</w:t>
            </w:r>
          </w:p>
        </w:tc>
        <w:tc>
          <w:tcPr>
            <w:tcW w:type="dxa" w:w="16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End of round</w:t>
            </w:r>
          </w:p>
        </w:tc>
        <w:tc>
          <w:tcPr>
            <w:tcW w:type="dxa" w:w="194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Learning signal</w:t>
            </w:r>
          </w:p>
        </w:tc>
      </w:tr>
      <w:tr>
        <w:trPr>
          <w:cantSplit/>
        </w:trPr>
        <w:tc>
          <w:tcPr>
            <w:tcW w:type="dxa" w:w="19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Channel conversion</w:t>
            </w:r>
          </w:p>
        </w:tc>
        <w:tc>
          <w:tcPr>
            <w:tcW w:type="dxa" w:w="387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QR visits or sign-ins by campaign source where measurable</w:t>
            </w:r>
          </w:p>
        </w:tc>
        <w:tc>
          <w:tcPr>
            <w:tcW w:type="dxa" w:w="16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Weekly</w:t>
            </w:r>
          </w:p>
        </w:tc>
        <w:tc>
          <w:tcPr>
            <w:tcW w:type="dxa" w:w="194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Promotion effectiveness</w:t>
            </w:r>
          </w:p>
        </w:tc>
      </w:tr>
      <w:tr>
        <w:trPr>
          <w:cantSplit/>
        </w:trPr>
        <w:tc>
          <w:tcPr>
            <w:tcW w:type="dxa" w:w="19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Support / fairness cases</w:t>
            </w:r>
          </w:p>
        </w:tc>
        <w:tc>
          <w:tcPr>
            <w:tcW w:type="dxa" w:w="387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Count, type, resolution time, and outcome</w:t>
            </w:r>
          </w:p>
        </w:tc>
        <w:tc>
          <w:tcPr>
            <w:tcW w:type="dxa" w:w="16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Weekly</w:t>
            </w:r>
          </w:p>
        </w:tc>
        <w:tc>
          <w:tcPr>
            <w:tcW w:type="dxa" w:w="194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Rule and product improvement</w:t>
            </w:r>
          </w:p>
        </w:tc>
      </w:tr>
    </w:tbl>
    <w:p>
      <w:pPr>
        <w:spacing w:before="0" w:after="40" w:line="240" w:lineRule="auto"/>
      </w:pPr>
    </w:p>
    <w:p>
      <w:pPr>
        <w:pStyle w:val="Heading2"/>
      </w:pPr>
      <w:r>
        <w:t>Risk register</w:t>
      </w:r>
    </w:p>
    <w:tbl>
      <w:tblPr>
        <w:tblStyle w:val="TableGrid"/>
        <w:tblW w:type="dxa" w:w="9360"/>
        <w:jc w:val="left"/>
        <w:tblLayout w:type="fixed"/>
        <w:tblLook w:firstColumn="1" w:firstRow="1" w:lastColumn="0" w:lastRow="0" w:noHBand="0" w:noVBand="1" w:val="04A0"/>
        <w:tblInd w:type="dxa" w:w="120"/>
      </w:tblPr>
      <w:tblGrid>
        <w:gridCol w:w="1900"/>
        <w:gridCol w:w="1650"/>
        <w:gridCol w:w="4330"/>
        <w:gridCol w:w="1480"/>
      </w:tblGrid>
      <w:tr>
        <w:trPr>
          <w:tblHeader w:val="true"/>
          <w:cantSplit/>
        </w:trPr>
        <w:tc>
          <w:tcPr>
            <w:tcW w:type="dxa" w:w="190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Risk</w:t>
            </w:r>
          </w:p>
        </w:tc>
        <w:tc>
          <w:tcPr>
            <w:tcW w:type="dxa" w:w="165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Likelihood / impact</w:t>
            </w:r>
          </w:p>
        </w:tc>
        <w:tc>
          <w:tcPr>
            <w:tcW w:type="dxa" w:w="433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Mitigation</w:t>
            </w:r>
          </w:p>
        </w:tc>
        <w:tc>
          <w:tcPr>
            <w:tcW w:type="dxa" w:w="148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Owner</w:t>
            </w:r>
          </w:p>
        </w:tc>
      </w:tr>
      <w:tr>
        <w:trPr>
          <w:cantSplit/>
        </w:trPr>
        <w:tc>
          <w:tcPr>
            <w:tcW w:type="dxa" w:w="19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Low participation after launch</w:t>
            </w:r>
          </w:p>
        </w:tc>
        <w:tc>
          <w:tcPr>
            <w:tcW w:type="dxa" w:w="16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Medium / High</w:t>
            </w:r>
          </w:p>
        </w:tc>
        <w:tc>
          <w:tcPr>
            <w:tcW w:type="dxa" w:w="433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Seed authentic staff entries, intensify orientation promotion, and simplify the first-entry message</w:t>
            </w:r>
          </w:p>
        </w:tc>
        <w:tc>
          <w:tcPr>
            <w:tcW w:type="dxa" w:w="148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Project + Comms</w:t>
            </w:r>
          </w:p>
        </w:tc>
      </w:tr>
      <w:tr>
        <w:trPr>
          <w:cantSplit/>
        </w:trPr>
        <w:tc>
          <w:tcPr>
            <w:tcW w:type="dxa" w:w="19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Prize stock unavailable</w:t>
            </w:r>
          </w:p>
        </w:tc>
        <w:tc>
          <w:tcPr>
            <w:tcW w:type="dxa" w:w="16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Medium / Medium</w:t>
            </w:r>
          </w:p>
        </w:tc>
        <w:tc>
          <w:tcPr>
            <w:tcW w:type="dxa" w:w="433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Confirm in-kind inventory before advertising; keep substitute packages within the ¥1,000 ceiling</w:t>
            </w:r>
          </w:p>
        </w:tc>
        <w:tc>
          <w:tcPr>
            <w:tcW w:type="dxa" w:w="148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PR liaison</w:t>
            </w:r>
          </w:p>
        </w:tc>
      </w:tr>
      <w:tr>
        <w:trPr>
          <w:cantSplit/>
        </w:trPr>
        <w:tc>
          <w:tcPr>
            <w:tcW w:type="dxa" w:w="19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Script reading or external playback</w:t>
            </w:r>
          </w:p>
        </w:tc>
        <w:tc>
          <w:tcPr>
            <w:tcW w:type="dxa" w:w="16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High / Medium</w:t>
            </w:r>
          </w:p>
        </w:tc>
        <w:tc>
          <w:tcPr>
            <w:tcW w:type="dxa" w:w="433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Clear award rules, manual top-five review, and live follow-up only where needed</w:t>
            </w:r>
          </w:p>
        </w:tc>
        <w:tc>
          <w:tcPr>
            <w:tcW w:type="dxa" w:w="148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Review panel</w:t>
            </w:r>
          </w:p>
        </w:tc>
      </w:tr>
      <w:tr>
        <w:trPr>
          <w:cantSplit/>
        </w:trPr>
        <w:tc>
          <w:tcPr>
            <w:tcW w:type="dxa" w:w="19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Evaluation failure or score dispute</w:t>
            </w:r>
          </w:p>
        </w:tc>
        <w:tc>
          <w:tcPr>
            <w:tcW w:type="dxa" w:w="16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Medium / High</w:t>
            </w:r>
          </w:p>
        </w:tc>
        <w:tc>
          <w:tcPr>
            <w:tcW w:type="dxa" w:w="433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Preserve recordings, log failures, rerun only under a documented rule, and publish scoring limitations</w:t>
            </w:r>
          </w:p>
        </w:tc>
        <w:tc>
          <w:tcPr>
            <w:tcW w:type="dxa" w:w="148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Technical lead</w:t>
            </w:r>
          </w:p>
        </w:tc>
      </w:tr>
      <w:tr>
        <w:trPr>
          <w:cantSplit/>
        </w:trPr>
        <w:tc>
          <w:tcPr>
            <w:tcW w:type="dxa" w:w="190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Privacy concern</w:t>
            </w:r>
          </w:p>
        </w:tc>
        <w:tc>
          <w:tcPr>
            <w:tcW w:type="dxa" w:w="16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Low / High</w:t>
            </w:r>
          </w:p>
        </w:tc>
        <w:tc>
          <w:tcPr>
            <w:tcW w:type="dxa" w:w="433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Consent, private recordings, alias option, minimum-access review, and no public video serving</w:t>
            </w:r>
          </w:p>
        </w:tc>
        <w:tc>
          <w:tcPr>
            <w:tcW w:type="dxa" w:w="148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Technical lead</w:t>
            </w:r>
          </w:p>
        </w:tc>
      </w:tr>
      <w:tr>
        <w:trPr>
          <w:cantSplit/>
        </w:trPr>
        <w:tc>
          <w:tcPr>
            <w:tcW w:type="dxa" w:w="190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color w:val="30247A"/>
                <w:sz w:val="16"/>
              </w:rPr>
              <w:t>Promotion overpromises gifts</w:t>
            </w:r>
          </w:p>
        </w:tc>
        <w:tc>
          <w:tcPr>
            <w:tcW w:type="dxa" w:w="16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Medium / Medium</w:t>
            </w:r>
          </w:p>
        </w:tc>
        <w:tc>
          <w:tcPr>
            <w:tcW w:type="dxa" w:w="433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6"/>
              </w:rPr>
              <w:t>Use exact prize-value language and “while supplies last” for participation items</w:t>
            </w:r>
          </w:p>
        </w:tc>
        <w:tc>
          <w:tcPr>
            <w:tcW w:type="dxa" w:w="148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val="0"/>
                <w:color w:val="232337"/>
                <w:sz w:val="16"/>
              </w:rPr>
              <w:t>Comms lead</w:t>
            </w:r>
          </w:p>
        </w:tc>
      </w:tr>
    </w:tbl>
    <w:p>
      <w:pPr>
        <w:spacing w:before="0" w:after="40" w:line="240" w:lineRule="auto"/>
      </w:pPr>
    </w:p>
    <w:p>
      <w:pPr>
        <w:pStyle w:val="Heading2"/>
      </w:pPr>
      <w:r>
        <w:t>Final report</w:t>
      </w:r>
    </w:p>
    <w:p>
      <w:pPr>
        <w:numPr>
          <w:ilvl w:val="0"/>
          <w:numId w:val="10"/>
        </w:numPr>
        <w:spacing w:after="80" w:line="290" w:lineRule="auto"/>
      </w:pPr>
      <w:r>
        <w:rPr>
          <w:rFonts w:ascii="Calibri" w:hAnsi="Calibri" w:eastAsia="Calibri"/>
          <w:color w:val="232337"/>
        </w:rPr>
        <w:t>Campaign reach and participation against the working targets.</w:t>
      </w:r>
    </w:p>
    <w:p>
      <w:pPr>
        <w:numPr>
          <w:ilvl w:val="0"/>
          <w:numId w:val="10"/>
        </w:numPr>
        <w:spacing w:after="80" w:line="290" w:lineRule="auto"/>
      </w:pPr>
      <w:r>
        <w:rPr>
          <w:rFonts w:ascii="Calibri" w:hAnsi="Calibri" w:eastAsia="Calibri"/>
          <w:color w:val="232337"/>
        </w:rPr>
        <w:t>Attempt, repeat, completion, and score-improvement patterns by week.</w:t>
      </w:r>
    </w:p>
    <w:p>
      <w:pPr>
        <w:numPr>
          <w:ilvl w:val="0"/>
          <w:numId w:val="10"/>
        </w:numPr>
        <w:spacing w:after="80" w:line="290" w:lineRule="auto"/>
      </w:pPr>
      <w:r>
        <w:rPr>
          <w:rFonts w:ascii="Calibri" w:hAnsi="Calibri" w:eastAsia="Calibri"/>
          <w:color w:val="232337"/>
        </w:rPr>
        <w:t>Promotion channel performance and participant feedback.</w:t>
      </w:r>
    </w:p>
    <w:p>
      <w:pPr>
        <w:numPr>
          <w:ilvl w:val="0"/>
          <w:numId w:val="10"/>
        </w:numPr>
        <w:spacing w:after="80" w:line="290" w:lineRule="auto"/>
      </w:pPr>
      <w:r>
        <w:rPr>
          <w:rFonts w:ascii="Calibri" w:hAnsi="Calibri" w:eastAsia="Calibri"/>
          <w:color w:val="232337"/>
        </w:rPr>
        <w:t>Prize spending, donated value, and remaining annual activity budget.</w:t>
      </w:r>
    </w:p>
    <w:p>
      <w:pPr>
        <w:numPr>
          <w:ilvl w:val="0"/>
          <w:numId w:val="10"/>
        </w:numPr>
        <w:spacing w:after="80" w:line="290" w:lineRule="auto"/>
      </w:pPr>
      <w:r>
        <w:rPr>
          <w:rFonts w:ascii="Calibri" w:hAnsi="Calibri" w:eastAsia="Calibri"/>
          <w:color w:val="232337"/>
        </w:rPr>
        <w:t>Fair-play cases, platform incidents, privacy issues, and resolutions.</w:t>
      </w:r>
    </w:p>
    <w:p>
      <w:pPr>
        <w:numPr>
          <w:ilvl w:val="0"/>
          <w:numId w:val="10"/>
        </w:numPr>
        <w:spacing w:after="80" w:line="290" w:lineRule="auto"/>
      </w:pPr>
      <w:r>
        <w:rPr>
          <w:rFonts w:ascii="Calibri" w:hAnsi="Calibri" w:eastAsia="Calibri"/>
          <w:color w:val="232337"/>
        </w:rPr>
        <w:t>Recommendation: stop, repeat monthly, or scale with additional budget and controls.</w:t>
      </w:r>
    </w:p>
    <w:p>
      <w:pPr>
        <w:spacing w:before="0" w:after="140"/>
        <w:jc w:val="left"/>
        <w:keepNext/>
      </w:pPr>
      <w:r>
        <w:rPr>
          <w:rFonts w:ascii="Calibri" w:hAnsi="Calibri" w:eastAsia="Calibri"/>
          <w:b/>
          <w:caps/>
          <w:color w:val="5B4EE5"/>
          <w:sz w:val="19"/>
        </w:rPr>
        <w:t>SECTION 09</w:t>
      </w:r>
    </w:p>
    <w:p>
      <w:pPr>
        <w:pStyle w:val="Heading1"/>
        <w:spacing w:before="0"/>
      </w:pPr>
      <w:r>
        <w:t>Implementation calendar and approvals</w:t>
      </w:r>
    </w:p>
    <w:p>
      <w:pPr>
        <w:spacing w:before="0" w:after="240" w:line="300" w:lineRule="auto"/>
      </w:pPr>
      <w:r>
        <w:rPr>
          <w:rFonts w:ascii="Calibri" w:hAnsi="Calibri" w:eastAsia="Calibri"/>
          <w:b/>
          <w:color w:val="30247A"/>
          <w:sz w:val="26"/>
        </w:rPr>
        <w:t>The plan is ready to move into implementation once the sponsor confirms the format, reward language, and ranking method.</w:t>
      </w:r>
    </w:p>
    <w:p>
      <w:pPr>
        <w:pStyle w:val="Heading2"/>
      </w:pPr>
      <w:r>
        <w:t>Critical path</w:t>
      </w:r>
    </w:p>
    <w:tbl>
      <w:tblPr>
        <w:tblStyle w:val="TableGrid"/>
        <w:tblW w:type="dxa" w:w="9360"/>
        <w:jc w:val="left"/>
        <w:tblLayout w:type="fixed"/>
        <w:tblLook w:firstColumn="1" w:firstRow="1" w:lastColumn="0" w:lastRow="0" w:noHBand="0" w:noVBand="1" w:val="04A0"/>
        <w:tblInd w:type="dxa" w:w="120"/>
      </w:tblPr>
      <w:tblGrid>
        <w:gridCol w:w="1450"/>
        <w:gridCol w:w="2350"/>
        <w:gridCol w:w="3330"/>
        <w:gridCol w:w="2230"/>
      </w:tblGrid>
      <w:tr>
        <w:trPr>
          <w:tblHeader w:val="true"/>
          <w:cantSplit/>
        </w:trPr>
        <w:tc>
          <w:tcPr>
            <w:tcW w:type="dxa" w:w="145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Date</w:t>
            </w:r>
          </w:p>
        </w:tc>
        <w:tc>
          <w:tcPr>
            <w:tcW w:type="dxa" w:w="235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Milestone</w:t>
            </w:r>
          </w:p>
        </w:tc>
        <w:tc>
          <w:tcPr>
            <w:tcW w:type="dxa" w:w="333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Required output</w:t>
            </w:r>
          </w:p>
        </w:tc>
        <w:tc>
          <w:tcPr>
            <w:tcW w:type="dxa" w:w="2230"/>
            <w:shd w:fill="30247A" w:val="clear"/>
            <w:tcBorders>
              <w:top w:val="single" w:sz="6" w:color="30247A"/>
              <w:left w:val="single" w:sz="6" w:color="30247A"/>
              <w:bottom w:val="single" w:sz="6" w:color="30247A"/>
              <w:right w:val="single" w:sz="6" w:color="30247A"/>
              <w:insideH w:val="single" w:sz="6" w:color="30247A"/>
              <w:insideV w:val="single" w:sz="6" w:color="30247A"/>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FFFFFF"/>
                <w:sz w:val="18"/>
              </w:rPr>
              <w:t>Go / no-go condition</w:t>
            </w:r>
          </w:p>
        </w:tc>
      </w:tr>
      <w:tr>
        <w:trPr>
          <w:cantSplit/>
        </w:trPr>
        <w:tc>
          <w:tcPr>
            <w:tcW w:type="dxa" w:w="14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30247A"/>
                <w:sz w:val="15"/>
              </w:rPr>
              <w:t>7 Aug</w:t>
            </w:r>
          </w:p>
        </w:tc>
        <w:tc>
          <w:tcPr>
            <w:tcW w:type="dxa" w:w="23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Plan review</w:t>
            </w:r>
          </w:p>
        </w:tc>
        <w:tc>
          <w:tcPr>
            <w:tcW w:type="dxa" w:w="333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Consolidated comments and named workstream owners</w:t>
            </w:r>
          </w:p>
        </w:tc>
        <w:tc>
          <w:tcPr>
            <w:tcW w:type="dxa" w:w="223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No unresolved scope conflict</w:t>
            </w:r>
          </w:p>
        </w:tc>
      </w:tr>
      <w:tr>
        <w:trPr>
          <w:cantSplit/>
        </w:trPr>
        <w:tc>
          <w:tcPr>
            <w:tcW w:type="dxa" w:w="14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30247A"/>
                <w:sz w:val="15"/>
              </w:rPr>
              <w:t>14 Aug</w:t>
            </w:r>
          </w:p>
        </w:tc>
        <w:tc>
          <w:tcPr>
            <w:tcW w:type="dxa" w:w="23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Approval and in-kind request</w:t>
            </w:r>
          </w:p>
        </w:tc>
        <w:tc>
          <w:tcPr>
            <w:tcW w:type="dxa" w:w="333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Approved budget/rules; Teacher Zhou email sent</w:t>
            </w:r>
          </w:p>
        </w:tc>
        <w:tc>
          <w:tcPr>
            <w:tcW w:type="dxa" w:w="223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¥1,000 ceiling and recognition model approved</w:t>
            </w:r>
          </w:p>
        </w:tc>
      </w:tr>
      <w:tr>
        <w:trPr>
          <w:cantSplit/>
        </w:trPr>
        <w:tc>
          <w:tcPr>
            <w:tcW w:type="dxa" w:w="14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30247A"/>
                <w:sz w:val="15"/>
              </w:rPr>
              <w:t>21 Aug</w:t>
            </w:r>
          </w:p>
        </w:tc>
        <w:tc>
          <w:tcPr>
            <w:tcW w:type="dxa" w:w="23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Content and prize lock</w:t>
            </w:r>
          </w:p>
        </w:tc>
        <w:tc>
          <w:tcPr>
            <w:tcW w:type="dxa" w:w="333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Four topics, prize packages, winner process, promotion copy</w:t>
            </w:r>
          </w:p>
        </w:tc>
        <w:tc>
          <w:tcPr>
            <w:tcW w:type="dxa" w:w="223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All public claims are supportable</w:t>
            </w:r>
          </w:p>
        </w:tc>
      </w:tr>
      <w:tr>
        <w:trPr>
          <w:cantSplit/>
        </w:trPr>
        <w:tc>
          <w:tcPr>
            <w:tcW w:type="dxa" w:w="14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30247A"/>
                <w:sz w:val="15"/>
              </w:rPr>
              <w:t>24–26 Aug</w:t>
            </w:r>
          </w:p>
        </w:tc>
        <w:tc>
          <w:tcPr>
            <w:tcW w:type="dxa" w:w="23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Staff pilot</w:t>
            </w:r>
          </w:p>
        </w:tc>
        <w:tc>
          <w:tcPr>
            <w:tcW w:type="dxa" w:w="333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Five-account end-to-end test and issue log</w:t>
            </w:r>
          </w:p>
        </w:tc>
        <w:tc>
          <w:tcPr>
            <w:tcW w:type="dxa" w:w="223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No blocker in sign-in, recording, save, evaluation, or ranking</w:t>
            </w:r>
          </w:p>
        </w:tc>
      </w:tr>
      <w:tr>
        <w:trPr>
          <w:cantSplit/>
        </w:trPr>
        <w:tc>
          <w:tcPr>
            <w:tcW w:type="dxa" w:w="14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30247A"/>
                <w:sz w:val="15"/>
              </w:rPr>
              <w:t>27–31 Aug</w:t>
            </w:r>
          </w:p>
        </w:tc>
        <w:tc>
          <w:tcPr>
            <w:tcW w:type="dxa" w:w="23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Promotion deployment</w:t>
            </w:r>
          </w:p>
        </w:tc>
        <w:tc>
          <w:tcPr>
            <w:tcW w:type="dxa" w:w="333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Elevator, print, DingTalk, and club assets live</w:t>
            </w:r>
          </w:p>
        </w:tc>
        <w:tc>
          <w:tcPr>
            <w:tcW w:type="dxa" w:w="223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QR opens production /game</w:t>
            </w:r>
          </w:p>
        </w:tc>
      </w:tr>
      <w:tr>
        <w:trPr>
          <w:cantSplit/>
        </w:trPr>
        <w:tc>
          <w:tcPr>
            <w:tcW w:type="dxa" w:w="14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30247A"/>
                <w:sz w:val="15"/>
              </w:rPr>
              <w:t>1 Sep</w:t>
            </w:r>
          </w:p>
        </w:tc>
        <w:tc>
          <w:tcPr>
            <w:tcW w:type="dxa" w:w="23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Campaign launch</w:t>
            </w:r>
          </w:p>
        </w:tc>
        <w:tc>
          <w:tcPr>
            <w:tcW w:type="dxa" w:w="333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Orientation and practice day</w:t>
            </w:r>
          </w:p>
        </w:tc>
        <w:tc>
          <w:tcPr>
            <w:tcW w:type="dxa" w:w="223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Operations and support coverage active</w:t>
            </w:r>
          </w:p>
        </w:tc>
      </w:tr>
      <w:tr>
        <w:trPr>
          <w:cantSplit/>
        </w:trPr>
        <w:tc>
          <w:tcPr>
            <w:tcW w:type="dxa" w:w="14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30247A"/>
                <w:sz w:val="15"/>
              </w:rPr>
              <w:t>2–29 Sep</w:t>
            </w:r>
          </w:p>
        </w:tc>
        <w:tc>
          <w:tcPr>
            <w:tcW w:type="dxa" w:w="23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Four weekly rounds</w:t>
            </w:r>
          </w:p>
        </w:tc>
        <w:tc>
          <w:tcPr>
            <w:tcW w:type="dxa" w:w="333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Weekly monitoring and recap</w:t>
            </w:r>
          </w:p>
        </w:tc>
        <w:tc>
          <w:tcPr>
            <w:tcW w:type="dxa" w:w="223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Major issues addressed within one working day</w:t>
            </w:r>
          </w:p>
        </w:tc>
      </w:tr>
      <w:tr>
        <w:trPr>
          <w:cantSplit/>
        </w:trPr>
        <w:tc>
          <w:tcPr>
            <w:tcW w:type="dxa" w:w="14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30247A"/>
                <w:sz w:val="15"/>
              </w:rPr>
              <w:t>30 Sep</w:t>
            </w:r>
          </w:p>
        </w:tc>
        <w:tc>
          <w:tcPr>
            <w:tcW w:type="dxa" w:w="235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Season close</w:t>
            </w:r>
          </w:p>
        </w:tc>
        <w:tc>
          <w:tcPr>
            <w:tcW w:type="dxa" w:w="333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Leaderboard snapshot and verification start</w:t>
            </w:r>
          </w:p>
        </w:tc>
        <w:tc>
          <w:tcPr>
            <w:tcW w:type="dxa" w:w="2230"/>
            <w:shd w:fill="F8F6FF" w:val="clear"/>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No prizes announced before review</w:t>
            </w:r>
          </w:p>
        </w:tc>
      </w:tr>
      <w:tr>
        <w:trPr>
          <w:cantSplit/>
        </w:trPr>
        <w:tc>
          <w:tcPr>
            <w:tcW w:type="dxa" w:w="14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center"/>
            </w:pPr>
            <w:r/>
            <w:r>
              <w:rPr>
                <w:rFonts w:ascii="Calibri" w:hAnsi="Calibri" w:eastAsia="Calibri"/>
                <w:b/>
                <w:color w:val="30247A"/>
                <w:sz w:val="15"/>
              </w:rPr>
              <w:t>Within 7 working days</w:t>
            </w:r>
          </w:p>
        </w:tc>
        <w:tc>
          <w:tcPr>
            <w:tcW w:type="dxa" w:w="235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Awards and report</w:t>
            </w:r>
          </w:p>
        </w:tc>
        <w:tc>
          <w:tcPr>
            <w:tcW w:type="dxa" w:w="333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Verified winners, distribution record, initial results</w:t>
            </w:r>
          </w:p>
        </w:tc>
        <w:tc>
          <w:tcPr>
            <w:tcW w:type="dxa" w:w="2230"/>
            <w:tcBorders>
              <w:top w:val="single" w:sz="6" w:color="DDD9F4"/>
              <w:left w:val="single" w:sz="6" w:color="DDD9F4"/>
              <w:bottom w:val="single" w:sz="6" w:color="DDD9F4"/>
              <w:right w:val="single" w:sz="6" w:color="DDD9F4"/>
              <w:insideH w:val="single" w:sz="6" w:color="DDD9F4"/>
              <w:insideV w:val="single" w:sz="6" w:color="DDD9F4"/>
            </w:tcBorders>
            <w:vAlign w:val="center"/>
            <w:tcMar>
              <w:top w:w="110" w:type="dxa"/>
              <w:bottom w:w="110" w:type="dxa"/>
              <w:start w:w="120" w:type="dxa"/>
              <w:end w:w="120" w:type="dxa"/>
            </w:tcMar>
          </w:tcPr>
          <w:p>
            <w:pPr>
              <w:spacing w:before="0" w:after="0" w:line="276" w:lineRule="auto"/>
              <w:jc w:val="left"/>
            </w:pPr>
            <w:r/>
            <w:r>
              <w:rPr>
                <w:rFonts w:ascii="Calibri" w:hAnsi="Calibri" w:eastAsia="Calibri"/>
                <w:b w:val="0"/>
                <w:color w:val="232337"/>
                <w:sz w:val="15"/>
              </w:rPr>
              <w:t>Appeals and exceptions resolved</w:t>
            </w:r>
          </w:p>
        </w:tc>
      </w:tr>
    </w:tbl>
    <w:p>
      <w:pPr>
        <w:spacing w:before="0" w:after="40" w:line="240" w:lineRule="auto"/>
      </w:pPr>
    </w:p>
    <w:p>
      <w:pPr>
        <w:pStyle w:val="Heading2"/>
      </w:pPr>
      <w:r>
        <w:t>Approval checklist</w:t>
      </w:r>
    </w:p>
    <w:p>
      <w:pPr>
        <w:spacing w:after="80" w:line="290" w:lineRule="auto"/>
        <w:ind w:left="540" w:hanging="271"/>
      </w:pPr>
      <w:r>
        <w:rPr>
          <w:rFonts w:ascii="Calibri" w:hAnsi="Calibri" w:eastAsia="Calibri"/>
          <w:b/>
          <w:color w:val="30247A"/>
        </w:rPr>
        <w:t xml:space="preserve">☐  </w:t>
      </w:r>
      <w:r>
        <w:rPr>
          <w:rFonts w:ascii="Calibri" w:hAnsi="Calibri" w:eastAsia="Calibri"/>
          <w:color w:val="232337"/>
        </w:rPr>
        <w:t>Approve the September 1–30 campaign window and four-round format.</w:t>
      </w:r>
    </w:p>
    <w:p>
      <w:pPr>
        <w:spacing w:after="80" w:line="290" w:lineRule="auto"/>
        <w:ind w:left="540" w:hanging="271"/>
      </w:pPr>
      <w:r>
        <w:rPr>
          <w:rFonts w:ascii="Calibri" w:hAnsi="Calibri" w:eastAsia="Calibri"/>
          <w:b/>
          <w:color w:val="30247A"/>
        </w:rPr>
        <w:t xml:space="preserve">☐  </w:t>
      </w:r>
      <w:r>
        <w:rPr>
          <w:rFonts w:ascii="Calibri" w:hAnsi="Calibri" w:eastAsia="Calibri"/>
          <w:color w:val="232337"/>
        </w:rPr>
        <w:t>Approve top-three funded prize values of ¥500 / ¥300 / ¥200.</w:t>
      </w:r>
    </w:p>
    <w:p>
      <w:pPr>
        <w:spacing w:after="80" w:line="290" w:lineRule="auto"/>
        <w:ind w:left="540" w:hanging="271"/>
      </w:pPr>
      <w:r>
        <w:rPr>
          <w:rFonts w:ascii="Calibri" w:hAnsi="Calibri" w:eastAsia="Calibri"/>
          <w:b/>
          <w:color w:val="30247A"/>
        </w:rPr>
        <w:t xml:space="preserve">☐  </w:t>
      </w:r>
      <w:r>
        <w:rPr>
          <w:rFonts w:ascii="Calibri" w:hAnsi="Calibri" w:eastAsia="Calibri"/>
          <w:color w:val="232337"/>
        </w:rPr>
        <w:t>Approve in-kind recognition for fourth/fifth place and participation gifts only when stock is confirmed.</w:t>
      </w:r>
    </w:p>
    <w:p>
      <w:pPr>
        <w:spacing w:after="80" w:line="290" w:lineRule="auto"/>
        <w:ind w:left="540" w:hanging="271"/>
      </w:pPr>
      <w:r>
        <w:rPr>
          <w:rFonts w:ascii="Calibri" w:hAnsi="Calibri" w:eastAsia="Calibri"/>
          <w:b/>
          <w:color w:val="30247A"/>
        </w:rPr>
        <w:t xml:space="preserve">☐  </w:t>
      </w:r>
      <w:r>
        <w:rPr>
          <w:rFonts w:ascii="Calibri" w:hAnsi="Calibri" w:eastAsia="Calibri"/>
          <w:color w:val="232337"/>
        </w:rPr>
        <w:t>Approve the September season ranking: an operations-compiled best weekly score across all four rounds (recommended), or a cumulative model requiring product work.</w:t>
      </w:r>
    </w:p>
    <w:p>
      <w:pPr>
        <w:spacing w:after="80" w:line="290" w:lineRule="auto"/>
        <w:ind w:left="540" w:hanging="271"/>
      </w:pPr>
      <w:r>
        <w:rPr>
          <w:rFonts w:ascii="Calibri" w:hAnsi="Calibri" w:eastAsia="Calibri"/>
          <w:b/>
          <w:color w:val="30247A"/>
        </w:rPr>
        <w:t xml:space="preserve">☐  </w:t>
      </w:r>
      <w:r>
        <w:rPr>
          <w:rFonts w:ascii="Calibri" w:hAnsi="Calibri" w:eastAsia="Calibri"/>
          <w:color w:val="232337"/>
        </w:rPr>
        <w:t>Approve the September fair-play rules and two-person winner review.</w:t>
      </w:r>
    </w:p>
    <w:p>
      <w:pPr>
        <w:spacing w:after="80" w:line="290" w:lineRule="auto"/>
        <w:ind w:left="540" w:hanging="271"/>
      </w:pPr>
      <w:r>
        <w:rPr>
          <w:rFonts w:ascii="Calibri" w:hAnsi="Calibri" w:eastAsia="Calibri"/>
          <w:b/>
          <w:color w:val="30247A"/>
        </w:rPr>
        <w:t xml:space="preserve">☐  </w:t>
      </w:r>
      <w:r>
        <w:rPr>
          <w:rFonts w:ascii="Calibri" w:hAnsi="Calibri" w:eastAsia="Calibri"/>
          <w:color w:val="232337"/>
        </w:rPr>
        <w:t>Confirm owners for operations, technical support, communications, content, procurement, and verification.</w:t>
      </w:r>
    </w:p>
    <w:p>
      <w:pPr>
        <w:spacing w:before="100" w:after="220" w:line="283" w:lineRule="auto"/>
        <w:ind w:left="115" w:right="115"/>
        <w:shd w:fill="F2EFFF" w:val="clear"/>
        <w:pBdr>
          <w:top w:val="single" w:sz="12" w:space="8" w:color="F2EFFF"/>
          <w:left w:val="single" w:sz="12" w:space="8" w:color="F2EFFF"/>
          <w:bottom w:val="single" w:sz="12" w:space="8" w:color="F2EFFF"/>
          <w:right w:val="single" w:sz="12" w:space="8" w:color="F2EFFF"/>
        </w:pBdr>
      </w:pPr>
      <w:r>
        <w:rPr>
          <w:rFonts w:ascii="Calibri" w:hAnsi="Calibri" w:eastAsia="Calibri"/>
          <w:b/>
          <w:color w:val="30247A"/>
          <w:sz w:val="18"/>
        </w:rPr>
        <w:t xml:space="preserve">RECOMMENDED APPROVAL  </w:t>
      </w:r>
      <w:r>
        <w:rPr>
          <w:rFonts w:ascii="Calibri" w:hAnsi="Calibri" w:eastAsia="Calibri"/>
          <w:color w:val="232337"/>
          <w:sz w:val="20"/>
        </w:rPr>
        <w:t>Approve an operations-compiled best-weekly-score season ranking for September. It uses the current weekly records without requiring a live season leaderboard and keeps the first campaign focused on participation and repeated practice.</w:t>
      </w:r>
    </w:p>
    <w:p>
      <w:pPr>
        <w:pStyle w:val="Heading2"/>
      </w:pPr>
      <w:r>
        <w:t>Planning basis and version note</w:t>
      </w:r>
    </w:p>
    <w:p>
      <w:pPr>
        <w:spacing w:after="200"/>
      </w:pPr>
      <w:r>
        <w:t>This proposal synthesizes the English Speaking Competition Planning meeting held on 29 July 2026 and the current OScanner-Eng /game implementation reviewed on the same date. Current capabilities and future enhancements are intentionally separated. Any change to ranking, prize value, eligibility, or monitoring should be reflected in the published rules before the campaign begins.</w:t>
      </w:r>
    </w:p>
    <w:p>
      <w:pPr>
        <w:spacing w:before="280"/>
        <w:jc w:val="center"/>
      </w:pPr>
      <w:r>
        <w:rPr>
          <w:rFonts w:ascii="Calibri" w:hAnsi="Calibri" w:eastAsia="Calibri"/>
          <w:i/>
          <w:color w:val="65657E"/>
          <w:sz w:val="19"/>
        </w:rPr>
        <w:t>Prepared for implementation review • 29 July 2026</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Calibri"/>
        <w:color w:val="65657E"/>
        <w:sz w:val="17"/>
      </w:rPr>
      <w:t xml:space="preserve">Internal planning  •  </w:t>
    </w:r>
    <w:r>
      <w:rPr>
        <w:rFonts w:ascii="Calibri" w:hAnsi="Calibri" w:eastAsia="Calibri"/>
        <w:color w:val="65657E"/>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
      <w:rPr>
        <w:rFonts w:ascii="Calibri" w:hAnsi="Calibri" w:eastAsia="Calibri"/>
        <w:b/>
        <w:color w:val="65657E"/>
        <w:sz w:val="17"/>
      </w:rPr>
      <w:t>OScanner-Eng | Autumn Speaking Challenge 2026</w:t>
    </w:r>
    <w:r>
      <w:rPr>
        <w:rFonts w:ascii="Calibri" w:hAnsi="Calibri" w:eastAsia="Calibri"/>
        <w:color w:val="65657E"/>
        <w:sz w:val="17"/>
      </w:rPr>
      <w:tab/>
      <w:t>EVENT PLAN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spacing w:after="80" w:line="29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540"/>
        </w:tabs>
        <w:ind w:left="540" w:hanging="280"/>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80"/>
        <w:spacing w:after="80" w:line="29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2323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65657E"/>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65657E"/>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ascii="Calibri" w:hAnsi="Calibri"/>
      <w:b/>
      <w:bCs/>
      <w:color w:val="5B4EE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Calibri" w:hAnsi="Calibri"/>
      <w:b/>
      <w:bCs/>
      <w:color w:val="5B4EE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ascii="Calibri" w:hAnsi="Calibri"/>
      <w:b/>
      <w:bCs/>
      <w:color w:val="30247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jc w:val="center"/>
    </w:pPr>
    <w:rPr>
      <w:rFonts w:asciiTheme="majorHAnsi" w:eastAsiaTheme="majorEastAsia" w:hAnsiTheme="majorHAnsi" w:cstheme="majorBidi" w:ascii="Calibri" w:hAnsi="Calibri"/>
      <w:b/>
      <w:color w:val="30247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line="276" w:lineRule="auto"/>
      <w:jc w:val="center"/>
    </w:pPr>
    <w:rPr>
      <w:rFonts w:asciiTheme="majorHAnsi" w:eastAsiaTheme="majorEastAsia" w:hAnsiTheme="majorHAnsi" w:cstheme="majorBidi" w:ascii="Calibri" w:hAnsi="Calibri"/>
      <w:i/>
      <w:iCs/>
      <w:color w:val="65657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OScanner-Eng Autumn Speaking Challenge 2026 Event Plan</dc:title>
  <dc:subject>English planning proposal for the OScanner-Eng /game campaign</dc:subject>
  <dc:creator>OScanner-Eng Project Team</dc:creator>
  <cp:keywords>OScanner-Eng, English speaking, competition, September 2026, event plan</cp:keywords>
  <dc:description>generated by python-docx</dc:description>
  <cp:lastModifiedBy/>
  <cp:revision>1</cp:revision>
  <dcterms:created xsi:type="dcterms:W3CDTF">2013-12-23T23:15:00Z</dcterms:created>
  <dcterms:modified xsi:type="dcterms:W3CDTF">2013-12-23T23:15:00Z</dcterms:modified>
  <cp:category/>
</cp:coreProperties>
</file>