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peaker-notes-course-introduction-video"/>
    <w:p>
      <w:pPr>
        <w:pStyle w:val="Heading1"/>
      </w:pPr>
      <w:r>
        <w:t xml:space="preserve">Speaker Notes — Course Introduction Video</w:t>
      </w:r>
    </w:p>
    <w:bookmarkStart w:id="20" w:name="opening-hook-30-seconds"/>
    <w:p>
      <w:pPr>
        <w:pStyle w:val="Heading2"/>
      </w:pPr>
      <w:r>
        <w:t xml:space="preserve">Opening Hook (30 seconds)</w:t>
      </w:r>
    </w:p>
    <w:p>
      <w:pPr>
        <w:pStyle w:val="FirstParagraph"/>
      </w:pPr>
      <w:r>
        <w:t xml:space="preserve">Here is a puzzle that should bother you.</w:t>
      </w:r>
    </w:p>
    <w:p>
      <w:pPr>
        <w:pStyle w:val="BodyText"/>
      </w:pPr>
      <w:r>
        <w:t xml:space="preserve">Ethiopia has one of the largest community health worker programs in Africa — over 40,000 Health Extension Workers deployed across the country. But when you look at the data, the regions with the most health workers have the</w:t>
      </w:r>
      <w:r>
        <w:t xml:space="preserve"> </w:t>
      </w:r>
      <w:r>
        <w:rPr>
          <w:i/>
          <w:iCs/>
        </w:rPr>
        <w:t xml:space="preserve">highest</w:t>
      </w:r>
      <w:r>
        <w:t xml:space="preserve"> </w:t>
      </w:r>
      <w:r>
        <w:t xml:space="preserve">mortality rates.</w:t>
      </w:r>
    </w:p>
    <w:p>
      <w:pPr>
        <w:pStyle w:val="BodyText"/>
      </w:pPr>
      <w:r>
        <w:t xml:space="preserve">Does deploying health workers cause deaths? Obviously not. But if you just looked at the numbers without thinking about causation, you might draw exactly that conclusion — and make a terrible decision as a result.</w:t>
      </w:r>
    </w:p>
    <w:p>
      <w:pPr>
        <w:pStyle w:val="BodyText"/>
      </w:pPr>
      <w:r>
        <w:t xml:space="preserve">This course exists so that does not happen to you.</w:t>
      </w:r>
    </w:p>
    <w:p>
      <w:pPr>
        <w:pStyle w:val="BodyText"/>
      </w:pPr>
      <w:r>
        <w:rPr>
          <w:i/>
          <w:iCs/>
        </w:rPr>
        <w:t xml:space="preserve">(pause)</w:t>
      </w:r>
    </w:p>
    <w:bookmarkEnd w:id="20"/>
    <w:bookmarkStart w:id="21" w:name="what-this-course-is-about-1-minute"/>
    <w:p>
      <w:pPr>
        <w:pStyle w:val="Heading2"/>
      </w:pPr>
      <w:r>
        <w:t xml:space="preserve">What This Course Is About (1 minute)</w:t>
      </w:r>
    </w:p>
    <w:p>
      <w:pPr>
        <w:pStyle w:val="FirstParagraph"/>
      </w:pPr>
      <w:r>
        <w:t xml:space="preserve">Welcome to Inference and Intervention.</w:t>
      </w:r>
    </w:p>
    <w:p>
      <w:pPr>
        <w:pStyle w:val="BodyText"/>
      </w:pPr>
      <w:r>
        <w:t xml:space="preserve">This is a course about one thing: how to think about cause and effect in complex systems — specifically, health systems where real lives are at stake.</w:t>
      </w:r>
    </w:p>
    <w:p>
      <w:pPr>
        <w:pStyle w:val="BodyText"/>
      </w:pPr>
      <w:r>
        <w:t xml:space="preserve">You have probably learned how to look at data — charts, averages, trends. What you probably have not learned is how to think</w:t>
      </w:r>
      <w:r>
        <w:t xml:space="preserve"> </w:t>
      </w:r>
      <w:r>
        <w:rPr>
          <w:i/>
          <w:iCs/>
        </w:rPr>
        <w:t xml:space="preserve">causally</w:t>
      </w:r>
      <w:r>
        <w:t xml:space="preserve">. Not just</w:t>
      </w:r>
      <w:r>
        <w:t xml:space="preserve"> </w:t>
      </w:r>
      <w:r>
        <w:t xml:space="preserve">“what happened?”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“why did it happen?”</w:t>
      </w:r>
      <w:r>
        <w:t xml:space="preserve"> </w:t>
      </w:r>
      <w:r>
        <w:t xml:space="preserve">and, critically,</w:t>
      </w:r>
      <w:r>
        <w:t xml:space="preserve"> </w:t>
      </w:r>
      <w:r>
        <w:t xml:space="preserve">“what would happen if we did something different?”</w:t>
      </w:r>
    </w:p>
    <w:p>
      <w:pPr>
        <w:pStyle w:val="BodyText"/>
      </w:pPr>
      <w:r>
        <w:t xml:space="preserve">Those sound like the same question. They are not. And the gap between them is where this entire course lives.</w:t>
      </w:r>
    </w:p>
    <w:p>
      <w:pPr>
        <w:pStyle w:val="BodyText"/>
      </w:pPr>
      <w:r>
        <w:rPr>
          <w:i/>
          <w:iCs/>
        </w:rPr>
        <w:t xml:space="preserve">(pause)</w:t>
      </w:r>
    </w:p>
    <w:bookmarkEnd w:id="21"/>
    <w:bookmarkStart w:id="26" w:name="the-journey-in-four-parts-3-minutes"/>
    <w:p>
      <w:pPr>
        <w:pStyle w:val="Heading2"/>
      </w:pPr>
      <w:r>
        <w:t xml:space="preserve">The Journey in Four Parts (3 minutes)</w:t>
      </w:r>
    </w:p>
    <w:p>
      <w:pPr>
        <w:pStyle w:val="FirstParagraph"/>
      </w:pPr>
      <w:r>
        <w:rPr>
          <w:i/>
          <w:iCs/>
        </w:rPr>
        <w:t xml:space="preserve">(Reference the whiteboard diagram here — draw the four-phase pathway)</w:t>
      </w:r>
    </w:p>
    <w:p>
      <w:pPr>
        <w:pStyle w:val="BodyText"/>
      </w:pPr>
      <w:r>
        <w:t xml:space="preserve">Let me walk you through the next ten sessions. Think of it as a journey in four parts.</w:t>
      </w:r>
    </w:p>
    <w:bookmarkStart w:id="22" w:name="X21e6b10025e7d3712f5c1419c607eac05267842"/>
    <w:p>
      <w:pPr>
        <w:pStyle w:val="Heading3"/>
      </w:pPr>
      <w:r>
        <w:t xml:space="preserve">Part One: Foundations — Chapters 1 through 3</w:t>
      </w:r>
    </w:p>
    <w:p>
      <w:pPr>
        <w:pStyle w:val="FirstParagraph"/>
      </w:pPr>
      <w:r>
        <w:t xml:space="preserve">We start by learning to think causally.</w:t>
      </w:r>
    </w:p>
    <w:p>
      <w:pPr>
        <w:pStyle w:val="BodyText"/>
      </w:pPr>
      <w:r>
        <w:t xml:space="preserve">In Chapter 1, I will show you three traps that catch even the smartest analysts — confounding, reverse causation, and selection bias. We will use real examples from Ethiopia’s health system.</w:t>
      </w:r>
    </w:p>
    <w:p>
      <w:pPr>
        <w:pStyle w:val="BodyText"/>
      </w:pPr>
      <w:r>
        <w:t xml:space="preserve">In Chapter 2, you will learn the three fundamental patterns of causation — chains, forks, and colliders — using Rwanda’s community health worker program. Once you understand these three patterns, you understand the logic of every causal model.</w:t>
      </w:r>
    </w:p>
    <w:p>
      <w:pPr>
        <w:pStyle w:val="BodyText"/>
      </w:pPr>
      <w:r>
        <w:t xml:space="preserve">In Chapter 3, we build a real causal model from scratch by interviewing people in Kenya’s health system — county directors, midwives, community health workers. Each conversation reveals what the previous model missed.</w:t>
      </w:r>
    </w:p>
    <w:p>
      <w:pPr>
        <w:pStyle w:val="BodyText"/>
      </w:pPr>
      <w:r>
        <w:rPr>
          <w:i/>
          <w:iCs/>
        </w:rPr>
        <w:t xml:space="preserve">(pause)</w:t>
      </w:r>
    </w:p>
    <w:bookmarkEnd w:id="22"/>
    <w:bookmarkStart w:id="23" w:name="Xfe6ef7cb2bdbcb6f122bfa23d7cdc6813e0e1f6"/>
    <w:p>
      <w:pPr>
        <w:pStyle w:val="Heading3"/>
      </w:pPr>
      <w:r>
        <w:t xml:space="preserve">Part Two: Adding Numbers — Chapters 4 through 6</w:t>
      </w:r>
    </w:p>
    <w:p>
      <w:pPr>
        <w:pStyle w:val="FirstParagraph"/>
      </w:pPr>
      <w:r>
        <w:t xml:space="preserve">Now we put numbers on the picture.</w:t>
      </w:r>
    </w:p>
    <w:p>
      <w:pPr>
        <w:pStyle w:val="BodyText"/>
      </w:pPr>
      <w:r>
        <w:t xml:space="preserve">Chapter 4 uses Tanzania’s health data to show how to turn your diagram into a calculator. No scary formulas — we count things out of 100 and use simple lookup tables.</w:t>
      </w:r>
    </w:p>
    <w:p>
      <w:pPr>
        <w:pStyle w:val="BodyText"/>
      </w:pPr>
      <w:r>
        <w:t xml:space="preserve">Chapter 5 is where the model comes alive. You learn to run it backwards — like a detective working from the crime scene. And you will discover</w:t>
      </w:r>
      <w:r>
        <w:t xml:space="preserve"> </w:t>
      </w:r>
      <w:r>
        <w:t xml:space="preserve">“explaining away”</w:t>
      </w:r>
      <w:r>
        <w:t xml:space="preserve"> </w:t>
      </w:r>
      <w:r>
        <w:t xml:space="preserve">— one of the most surprising ideas in reasoning.</w:t>
      </w:r>
    </w:p>
    <w:p>
      <w:pPr>
        <w:pStyle w:val="BodyText"/>
      </w:pPr>
      <w:r>
        <w:t xml:space="preserve">Chapter 6 will surprise you. I will show you how combined data from four countries can tell you the exact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of what each country’s data shows separately. Same numbers, opposite conclusions. Only the causal model can tell you which answer is right.</w:t>
      </w:r>
    </w:p>
    <w:p>
      <w:pPr>
        <w:pStyle w:val="BodyText"/>
      </w:pPr>
      <w:r>
        <w:rPr>
          <w:i/>
          <w:iCs/>
        </w:rPr>
        <w:t xml:space="preserve">(pause)</w:t>
      </w:r>
    </w:p>
    <w:bookmarkEnd w:id="23"/>
    <w:bookmarkStart w:id="24" w:name="X75de4b7d347669cc2e7b5e0dbc785b21fbc5406"/>
    <w:p>
      <w:pPr>
        <w:pStyle w:val="Heading3"/>
      </w:pPr>
      <w:r>
        <w:t xml:space="preserve">Part Three: Making Decisions — Chapters 7 through 9</w:t>
      </w:r>
    </w:p>
    <w:p>
      <w:pPr>
        <w:pStyle w:val="FirstParagraph"/>
      </w:pPr>
      <w:r>
        <w:t xml:space="preserve">Now you are no longer just analyzing — you are deciding.</w:t>
      </w:r>
    </w:p>
    <w:p>
      <w:pPr>
        <w:pStyle w:val="BodyText"/>
      </w:pPr>
      <w:r>
        <w:t xml:space="preserve">Chapter 7 introduces the most important distinction: the difference between</w:t>
      </w:r>
      <w:r>
        <w:t xml:space="preserve"> </w:t>
      </w:r>
      <w:r>
        <w:rPr>
          <w:i/>
          <w:iCs/>
        </w:rPr>
        <w:t xml:space="preserve">watching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doing</w:t>
      </w:r>
      <w:r>
        <w:t xml:space="preserve">. Seeing that hospitals with CPAP machines have better outcomes is not the same as giving a hospital a CPAP machine. We use Kenya’s counties to work through real decisions.</w:t>
      </w:r>
    </w:p>
    <w:p>
      <w:pPr>
        <w:pStyle w:val="BodyText"/>
      </w:pPr>
      <w:r>
        <w:t xml:space="preserve">Chapter 8 scales up. You have a limited budget and four countries — Ethiopia, Rwanda, Kenya, Tanzania. How do you split it? We explore three strategies and simulate thousands of possible futures.</w:t>
      </w:r>
    </w:p>
    <w:p>
      <w:pPr>
        <w:pStyle w:val="BodyText"/>
      </w:pPr>
      <w:r>
        <w:t xml:space="preserve">Chapter 9 adds the hardest layer. Other people react to your decisions. When you invest in a country, the government might pull back its own spending. You will learn how Rwanda’s Mutuelle de Santé prevents this free-rider problem.</w:t>
      </w:r>
    </w:p>
    <w:p>
      <w:pPr>
        <w:pStyle w:val="BodyText"/>
      </w:pPr>
      <w:r>
        <w:rPr>
          <w:i/>
          <w:iCs/>
        </w:rPr>
        <w:t xml:space="preserve">(pause)</w:t>
      </w:r>
    </w:p>
    <w:bookmarkEnd w:id="24"/>
    <w:bookmarkStart w:id="25" w:name="part-four-learning-from-data-chapter-10"/>
    <w:p>
      <w:pPr>
        <w:pStyle w:val="Heading3"/>
      </w:pPr>
      <w:r>
        <w:t xml:space="preserve">Part Four: Learning from Data — Chapter 10</w:t>
      </w:r>
    </w:p>
    <w:p>
      <w:pPr>
        <w:pStyle w:val="FirstParagraph"/>
      </w:pPr>
      <w:r>
        <w:t xml:space="preserve">Finally, we close the loop. Can computers figure out the causal arrows from data alone? Partially — but they need human experts to get it right. We use Tanzania’s DHIS2 health data system to show how this works.</w:t>
      </w:r>
    </w:p>
    <w:p>
      <w:pPr>
        <w:pStyle w:val="BodyText"/>
      </w:pPr>
      <w:r>
        <w:rPr>
          <w:i/>
          <w:iCs/>
        </w:rPr>
        <w:t xml:space="preserve">(pause — draw the feedback arrow on the whiteboard)</w:t>
      </w:r>
    </w:p>
    <w:p>
      <w:pPr>
        <w:pStyle w:val="BodyText"/>
      </w:pPr>
      <w:r>
        <w:t xml:space="preserve">And notice the arrow going back from the end to the beginning. Data refines the model. The model guides new data collection. You iterate. That is how understanding grows.</w:t>
      </w:r>
    </w:p>
    <w:bookmarkEnd w:id="25"/>
    <w:bookmarkEnd w:id="26"/>
    <w:bookmarkStart w:id="27" w:name="who-this-course-is-for-30-seconds"/>
    <w:p>
      <w:pPr>
        <w:pStyle w:val="Heading2"/>
      </w:pPr>
      <w:r>
        <w:t xml:space="preserve">Who This Course Is For (30 seconds)</w:t>
      </w:r>
    </w:p>
    <w:p>
      <w:pPr>
        <w:pStyle w:val="FirstParagraph"/>
      </w:pPr>
      <w:r>
        <w:t xml:space="preserve">This course is for anyone who wants to make better decisions about health — or about anything, really. You do not need to be a math expert. You do not need to know programming, though we will use a bit of R. You just need to be curious about how the world works and willing to draw your ideas on a whiteboard.</w:t>
      </w:r>
    </w:p>
    <w:bookmarkEnd w:id="27"/>
    <w:bookmarkStart w:id="28" w:name="what-you-will-walk-away-with-30-seconds"/>
    <w:p>
      <w:pPr>
        <w:pStyle w:val="Heading2"/>
      </w:pPr>
      <w:r>
        <w:t xml:space="preserve">What You Will Walk Away With (30 seconds)</w:t>
      </w:r>
    </w:p>
    <w:p>
      <w:pPr>
        <w:pStyle w:val="FirstParagraph"/>
      </w:pPr>
      <w:r>
        <w:t xml:space="preserve">By the end of these ten sessions, you will have:</w:t>
      </w:r>
    </w:p>
    <w:p>
      <w:pPr>
        <w:pStyle w:val="Compact"/>
        <w:numPr>
          <w:ilvl w:val="0"/>
          <w:numId w:val="1001"/>
        </w:numPr>
      </w:pPr>
      <w:r>
        <w:t xml:space="preserve">A way of thinking about cause and effect that goes beyond just looking at data</w:t>
      </w:r>
    </w:p>
    <w:p>
      <w:pPr>
        <w:pStyle w:val="Compact"/>
        <w:numPr>
          <w:ilvl w:val="0"/>
          <w:numId w:val="1001"/>
        </w:numPr>
      </w:pPr>
      <w:r>
        <w:t xml:space="preserve">The ability to draw, quantify, and question causal models</w:t>
      </w:r>
    </w:p>
    <w:p>
      <w:pPr>
        <w:pStyle w:val="Compact"/>
        <w:numPr>
          <w:ilvl w:val="0"/>
          <w:numId w:val="1001"/>
        </w:numPr>
      </w:pPr>
      <w:r>
        <w:t xml:space="preserve">Tools for making decisions when you are not sure what will happen</w:t>
      </w:r>
    </w:p>
    <w:p>
      <w:pPr>
        <w:pStyle w:val="Compact"/>
        <w:numPr>
          <w:ilvl w:val="0"/>
          <w:numId w:val="1001"/>
        </w:numPr>
      </w:pPr>
      <w:r>
        <w:t xml:space="preserve">A healthy suspicion of any number that does not come with a causal story attached</w:t>
      </w:r>
    </w:p>
    <w:bookmarkEnd w:id="28"/>
    <w:bookmarkStart w:id="29" w:name="closing-15-seconds"/>
    <w:p>
      <w:pPr>
        <w:pStyle w:val="Heading2"/>
      </w:pPr>
      <w:r>
        <w:t xml:space="preserve">Closing (15 seconds)</w:t>
      </w:r>
    </w:p>
    <w:p>
      <w:pPr>
        <w:pStyle w:val="FirstParagraph"/>
      </w:pPr>
      <w:r>
        <w:t xml:space="preserve">The gap between good intentions and good outcomes is not a gap of resources. It is a gap of causal reasoning. This course is designed to close that gap.</w:t>
      </w:r>
    </w:p>
    <w:p>
      <w:pPr>
        <w:pStyle w:val="BodyText"/>
      </w:pPr>
      <w:r>
        <w:t xml:space="preserve">I will see you in Chapter 1.</w:t>
      </w:r>
    </w:p>
    <w:bookmarkEnd w:id="29"/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999999"/>
        <w:sz w:val="18"/>
      </w:rPr>
      <w:t>BK Advisors</w:t>
    </w:r>
    <w:r>
      <w:rPr>
        <w:sz w:val="18"/>
      </w:rPr>
      <w:tab/>
      <w:tab/>
    </w:r>
    <w:r>
      <w:fldChar w:fldCharType="begin"/>
    </w:r>
    <w:r>
      <w:instrText xml:space="preserve"> PAGE </w:instrText>
    </w:r>
    <w:r>
      <w:rPr>
        <w:rFonts w:ascii="Calibri" w:hAnsi="Calibri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8"/>
      </w:rPr>
      <w:t>Inference and Intervention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b w:val="0"/>
      <w:i w:val="0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0"/>
      <w:outlineLvl w:val="0"/>
    </w:pPr>
    <w:rPr>
      <w:rFonts w:ascii="Calibri Light" w:asciiTheme="majorHAnsi" w:cstheme="majorBidi" w:eastAsiaTheme="majorEastAsia" w:hAnsi="Calibri Light" w:hAnsiTheme="majorHAnsi"/>
      <w:b/>
      <w:bCs/>
      <w:i w:val="0"/>
      <w:color w:val="005CB9"/>
      <w:sz w:val="5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/>
      <w:outlineLvl w:val="1"/>
    </w:pPr>
    <w:rPr>
      <w:rFonts w:ascii="Calibri Light" w:asciiTheme="majorHAnsi" w:cstheme="majorBidi" w:eastAsiaTheme="majorEastAsia" w:hAnsi="Calibri Light" w:hAnsiTheme="majorHAnsi"/>
      <w:b w:val="0"/>
      <w:bCs/>
      <w:i/>
      <w:color w:val="666666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 Light" w:asciiTheme="majorHAnsi" w:cstheme="majorBidi" w:eastAsiaTheme="majorEastAsia" w:hAnsi="Calibri Light" w:hAnsiTheme="majorHAnsi"/>
      <w:b w:val="0"/>
      <w:bCs/>
      <w:i w:val="0"/>
      <w:color w:val="005CB9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/>
      <w:b w:val="0"/>
      <w:i w:val="0"/>
      <w:color w:val="333333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i w:val="0"/>
      <w:color w:val="333333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2026-03-08T13:23:14Z</dcterms:created>
  <dcterms:modified xsi:type="dcterms:W3CDTF">2026-03-08T13:23:14Z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