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PIMA Veri Setinde Kaynak Aile Kontrollü Küçük Ölçekli Sentetik Benchmark Taraması</w:t>
      </w:r>
    </w:p>
    <w:p>
      <w:pPr>
        <w:spacing w:line="259" w:lineRule="auto" w:after="0"/>
      </w:pPr>
      <w:r>
        <w:t>Bu raporda amaç, mevcut 2500/2500 referans sonucunu bozmadan daha küçük ve savunulabilir bir PIMA + sentetik benchmark boyutu aramaktır. Başarı ölçütü, sentetik benchmark holdout tarafında minimum ana metrik değerinin %92 ve doğruluk değerinin en az %93 olmasıdır.</w:t>
      </w:r>
    </w:p>
    <w:p>
      <w:pPr>
        <w:spacing w:line="259" w:lineRule="auto" w:after="0"/>
      </w:pPr>
      <w:r>
        <w:t>Orijinal dış kontrol verisi bu seçim kararına dahil edilmemiştir. Bu veri yalnızca modelin gerçek PIMA dağılımına transferini dış kontrol olarak göstermek için raporlanmıştır.</w:t>
      </w:r>
    </w:p>
    <w:tbl>
      <w:tblPr>
        <w:tblStyle w:val="TableGrid"/>
        <w:tblW w:type="auto" w:w="0"/>
        <w:tblLook w:firstColumn="1" w:firstRow="1" w:lastColumn="0" w:lastRow="0" w:noHBand="0" w:noVBand="1" w:val="04A0"/>
      </w:tblPr>
      <w:tblGrid>
        <w:gridCol w:w="5184"/>
        <w:gridCol w:w="5184"/>
      </w:tblGrid>
      <w:tr>
        <w:tc>
          <w:tcPr>
            <w:tcW w:type="dxa" w:w="5184"/>
            <w:shd w:fill="1F4E79"/>
          </w:tcPr>
          <w:p>
            <w:pPr>
              <w:jc w:val="center"/>
            </w:pPr>
            <w:r>
              <w:rPr>
                <w:b/>
                <w:color w:val="FFFFFF"/>
                <w:sz w:val="16"/>
              </w:rPr>
              <w:t>Alan</w:t>
            </w:r>
          </w:p>
        </w:tc>
        <w:tc>
          <w:tcPr>
            <w:tcW w:type="dxa" w:w="5184"/>
            <w:shd w:fill="1F4E79"/>
          </w:tcPr>
          <w:p>
            <w:pPr>
              <w:jc w:val="center"/>
            </w:pPr>
            <w:r>
              <w:rPr>
                <w:b/>
                <w:color w:val="FFFFFF"/>
                <w:sz w:val="16"/>
              </w:rPr>
              <w:t>Değer</w:t>
            </w:r>
          </w:p>
        </w:tc>
      </w:tr>
      <w:tr>
        <w:tc>
          <w:tcPr>
            <w:tcW w:type="dxa" w:w="5184"/>
          </w:tcPr>
          <w:p>
            <w:pPr>
              <w:jc w:val="center"/>
            </w:pPr>
            <w:r>
              <w:rPr>
                <w:sz w:val="16"/>
              </w:rPr>
              <w:t>Orijinal PIMA</w:t>
            </w:r>
          </w:p>
        </w:tc>
        <w:tc>
          <w:tcPr>
            <w:tcW w:type="dxa" w:w="5184"/>
          </w:tcPr>
          <w:p>
            <w:pPr>
              <w:jc w:val="center"/>
            </w:pPr>
            <w:r>
              <w:rPr>
                <w:sz w:val="16"/>
              </w:rPr>
              <w:t>768 satır</w:t>
            </w:r>
          </w:p>
        </w:tc>
      </w:tr>
      <w:tr>
        <w:tc>
          <w:tcPr>
            <w:tcW w:type="dxa" w:w="5184"/>
          </w:tcPr>
          <w:p>
            <w:pPr>
              <w:jc w:val="center"/>
            </w:pPr>
            <w:r>
              <w:rPr>
                <w:sz w:val="16"/>
              </w:rPr>
              <w:t>Geliştirme verisi</w:t>
            </w:r>
          </w:p>
        </w:tc>
        <w:tc>
          <w:tcPr>
            <w:tcW w:type="dxa" w:w="5184"/>
          </w:tcPr>
          <w:p>
            <w:pPr>
              <w:jc w:val="center"/>
            </w:pPr>
            <w:r>
              <w:rPr>
                <w:sz w:val="16"/>
              </w:rPr>
              <w:t>614 satır</w:t>
            </w:r>
          </w:p>
        </w:tc>
      </w:tr>
      <w:tr>
        <w:tc>
          <w:tcPr>
            <w:tcW w:type="dxa" w:w="5184"/>
          </w:tcPr>
          <w:p>
            <w:pPr>
              <w:jc w:val="center"/>
            </w:pPr>
            <w:r>
              <w:rPr>
                <w:sz w:val="16"/>
              </w:rPr>
              <w:t>Dış kontrol verisi</w:t>
            </w:r>
          </w:p>
        </w:tc>
        <w:tc>
          <w:tcPr>
            <w:tcW w:type="dxa" w:w="5184"/>
          </w:tcPr>
          <w:p>
            <w:pPr>
              <w:jc w:val="center"/>
            </w:pPr>
            <w:r>
              <w:rPr>
                <w:sz w:val="16"/>
              </w:rPr>
              <w:t>154 satır</w:t>
            </w:r>
          </w:p>
        </w:tc>
      </w:tr>
      <w:tr>
        <w:tc>
          <w:tcPr>
            <w:tcW w:type="dxa" w:w="5184"/>
          </w:tcPr>
          <w:p>
            <w:pPr>
              <w:jc w:val="center"/>
            </w:pPr>
            <w:r>
              <w:rPr>
                <w:sz w:val="16"/>
              </w:rPr>
              <w:t>Hedef</w:t>
            </w:r>
          </w:p>
        </w:tc>
        <w:tc>
          <w:tcPr>
            <w:tcW w:type="dxa" w:w="5184"/>
          </w:tcPr>
          <w:p>
            <w:pPr>
              <w:jc w:val="center"/>
            </w:pPr>
            <w:r>
              <w:rPr>
                <w:sz w:val="16"/>
              </w:rPr>
              <w:t>Holdout minimum ana metrik &gt;= %92 ve doğruluk &gt;= %93</w:t>
            </w:r>
          </w:p>
        </w:tc>
      </w:tr>
      <w:tr>
        <w:tc>
          <w:tcPr>
            <w:tcW w:type="dxa" w:w="5184"/>
          </w:tcPr>
          <w:p>
            <w:pPr>
              <w:jc w:val="center"/>
            </w:pPr>
            <w:r>
              <w:rPr>
                <w:sz w:val="16"/>
              </w:rPr>
              <w:t>Seçilen aday</w:t>
            </w:r>
          </w:p>
        </w:tc>
        <w:tc>
          <w:tcPr>
            <w:tcW w:type="dxa" w:w="5184"/>
          </w:tcPr>
          <w:p>
            <w:pPr>
              <w:jc w:val="center"/>
            </w:pPr>
            <w:r>
              <w:rPr>
                <w:sz w:val="16"/>
              </w:rPr>
              <w:t>1000/1000 sınıf dengesi; sentetik yakınlaştırma düzeyi 0,60; adaptif gürültü profili</w:t>
            </w:r>
          </w:p>
        </w:tc>
      </w:tr>
    </w:tbl>
    <w:p/>
    <w:p>
      <w:pPr>
        <w:jc w:val="center"/>
      </w:pPr>
      <w:r>
        <w:drawing>
          <wp:inline xmlns:a="http://schemas.openxmlformats.org/drawingml/2006/main" xmlns:pic="http://schemas.openxmlformats.org/drawingml/2006/picture">
            <wp:extent cx="5669280" cy="2307265"/>
            <wp:docPr id="1" name="Picture 1"/>
            <wp:cNvGraphicFramePr>
              <a:graphicFrameLocks noChangeAspect="1"/>
            </wp:cNvGraphicFramePr>
            <a:graphic>
              <a:graphicData uri="http://schemas.openxmlformats.org/drawingml/2006/picture">
                <pic:pic>
                  <pic:nvPicPr>
                    <pic:cNvPr id="0" name="small_scale_ana_metrik_minimumu.png"/>
                    <pic:cNvPicPr/>
                  </pic:nvPicPr>
                  <pic:blipFill>
                    <a:blip r:embed="rId9"/>
                    <a:stretch>
                      <a:fillRect/>
                    </a:stretch>
                  </pic:blipFill>
                  <pic:spPr>
                    <a:xfrm>
                      <a:off x="0" y="0"/>
                      <a:ext cx="5669280" cy="2307265"/>
                    </a:xfrm>
                    <a:prstGeom prst="rect"/>
                  </pic:spPr>
                </pic:pic>
              </a:graphicData>
            </a:graphic>
          </wp:inline>
        </w:drawing>
      </w:r>
    </w:p>
    <w:p>
      <w:pPr>
        <w:jc w:val="center"/>
      </w:pPr>
      <w:r>
        <w:rPr>
          <w:i/>
          <w:sz w:val="16"/>
        </w:rPr>
        <w:t>Sınıf başı hedef arttıkça minimum ana metrik değerinin nasıl değiştiği gösterilmiştir.</w:t>
      </w:r>
    </w:p>
    <w:p>
      <w:pPr>
        <w:jc w:val="center"/>
      </w:pPr>
      <w:r>
        <w:drawing>
          <wp:inline xmlns:a="http://schemas.openxmlformats.org/drawingml/2006/main" xmlns:pic="http://schemas.openxmlformats.org/drawingml/2006/picture">
            <wp:extent cx="5669280" cy="2307265"/>
            <wp:docPr id="2" name="Picture 2"/>
            <wp:cNvGraphicFramePr>
              <a:graphicFrameLocks noChangeAspect="1"/>
            </wp:cNvGraphicFramePr>
            <a:graphic>
              <a:graphicData uri="http://schemas.openxmlformats.org/drawingml/2006/picture">
                <pic:pic>
                  <pic:nvPicPr>
                    <pic:cNvPr id="0" name="small_scale_accuracy.png"/>
                    <pic:cNvPicPr/>
                  </pic:nvPicPr>
                  <pic:blipFill>
                    <a:blip r:embed="rId10"/>
                    <a:stretch>
                      <a:fillRect/>
                    </a:stretch>
                  </pic:blipFill>
                  <pic:spPr>
                    <a:xfrm>
                      <a:off x="0" y="0"/>
                      <a:ext cx="5669280" cy="2307265"/>
                    </a:xfrm>
                    <a:prstGeom prst="rect"/>
                  </pic:spPr>
                </pic:pic>
              </a:graphicData>
            </a:graphic>
          </wp:inline>
        </w:drawing>
      </w:r>
    </w:p>
    <w:p>
      <w:pPr>
        <w:jc w:val="center"/>
      </w:pPr>
      <w:r>
        <w:rPr>
          <w:i/>
          <w:sz w:val="16"/>
        </w:rPr>
        <w:t>Doğruluk hedefi ayrıca çizilmiştir; seçim yalnız minimum ana metriğe göre yapılmamıştır.</w:t>
      </w:r>
    </w:p>
    <w:p>
      <w:r>
        <w:br w:type="page"/>
      </w:r>
    </w:p>
    <w:p>
      <w:pPr>
        <w:pStyle w:val="Heading1"/>
      </w:pPr>
      <w:r>
        <w:t>Doğrulama Protokolü ve Veri Sızıntısı Kontrolü</w:t>
      </w:r>
    </w:p>
    <w:p>
      <w:pPr>
        <w:spacing w:line="259" w:lineRule="auto" w:after="0"/>
      </w:pPr>
      <w:r>
        <w:t>Bu çalışma literatürdeki veri artırma yaklaşımlarından farklı olarak her sentetik örneği bir kaynak aile kimliğine (source_id) bağlamıştır. Böylece aynı aileden gelen örneklerin eğitim ve test tarafına birlikte düşmesi engellenmiştir.</w:t>
      </w:r>
    </w:p>
    <w:tbl>
      <w:tblPr>
        <w:tblStyle w:val="TableGrid"/>
        <w:tblW w:type="auto" w:w="0"/>
        <w:tblLook w:firstColumn="1" w:firstRow="1" w:lastColumn="0" w:lastRow="0" w:noHBand="0" w:noVBand="1" w:val="04A0"/>
      </w:tblPr>
      <w:tblGrid>
        <w:gridCol w:w="3456"/>
        <w:gridCol w:w="3456"/>
        <w:gridCol w:w="3456"/>
      </w:tblGrid>
      <w:tr>
        <w:tc>
          <w:tcPr>
            <w:tcW w:type="dxa" w:w="3456"/>
            <w:shd w:fill="1F4E79"/>
          </w:tcPr>
          <w:p>
            <w:pPr>
              <w:jc w:val="center"/>
            </w:pPr>
            <w:r>
              <w:rPr>
                <w:b/>
                <w:color w:val="FFFFFF"/>
                <w:sz w:val="16"/>
              </w:rPr>
              <w:t>Kontrol</w:t>
            </w:r>
          </w:p>
        </w:tc>
        <w:tc>
          <w:tcPr>
            <w:tcW w:type="dxa" w:w="3456"/>
            <w:shd w:fill="1F4E79"/>
          </w:tcPr>
          <w:p>
            <w:pPr>
              <w:jc w:val="center"/>
            </w:pPr>
            <w:r>
              <w:rPr>
                <w:b/>
                <w:color w:val="FFFFFF"/>
                <w:sz w:val="16"/>
              </w:rPr>
              <w:t>Beklenen</w:t>
            </w:r>
          </w:p>
        </w:tc>
        <w:tc>
          <w:tcPr>
            <w:tcW w:type="dxa" w:w="3456"/>
            <w:shd w:fill="1F4E79"/>
          </w:tcPr>
          <w:p>
            <w:pPr>
              <w:jc w:val="center"/>
            </w:pPr>
            <w:r>
              <w:rPr>
                <w:b/>
                <w:color w:val="FFFFFF"/>
                <w:sz w:val="16"/>
              </w:rPr>
              <w:t>Sonuç</w:t>
            </w:r>
          </w:p>
        </w:tc>
      </w:tr>
      <w:tr>
        <w:tc>
          <w:tcPr>
            <w:tcW w:type="dxa" w:w="3456"/>
          </w:tcPr>
          <w:p>
            <w:pPr>
              <w:jc w:val="center"/>
            </w:pPr>
            <w:r>
              <w:rPr>
                <w:sz w:val="16"/>
              </w:rPr>
              <w:t>Eğitim/test kaynak aile kesişimi</w:t>
            </w:r>
          </w:p>
        </w:tc>
        <w:tc>
          <w:tcPr>
            <w:tcW w:type="dxa" w:w="3456"/>
          </w:tcPr>
          <w:p>
            <w:pPr>
              <w:jc w:val="center"/>
            </w:pPr>
            <w:r>
              <w:rPr>
                <w:sz w:val="16"/>
              </w:rPr>
              <w:t>0</w:t>
            </w:r>
          </w:p>
        </w:tc>
        <w:tc>
          <w:tcPr>
            <w:tcW w:type="dxa" w:w="3456"/>
          </w:tcPr>
          <w:p>
            <w:pPr>
              <w:jc w:val="center"/>
            </w:pPr>
            <w:r>
              <w:rPr>
                <w:sz w:val="16"/>
              </w:rPr>
              <w:t>0</w:t>
            </w:r>
          </w:p>
        </w:tc>
      </w:tr>
      <w:tr>
        <w:tc>
          <w:tcPr>
            <w:tcW w:type="dxa" w:w="3456"/>
          </w:tcPr>
          <w:p>
            <w:pPr>
              <w:jc w:val="center"/>
            </w:pPr>
            <w:r>
              <w:rPr>
                <w:sz w:val="16"/>
              </w:rPr>
              <w:t>Çapraz doğrulama kaynak aile kesişimi</w:t>
            </w:r>
          </w:p>
        </w:tc>
        <w:tc>
          <w:tcPr>
            <w:tcW w:type="dxa" w:w="3456"/>
          </w:tcPr>
          <w:p>
            <w:pPr>
              <w:jc w:val="center"/>
            </w:pPr>
            <w:r>
              <w:rPr>
                <w:sz w:val="16"/>
              </w:rPr>
              <w:t>0</w:t>
            </w:r>
          </w:p>
        </w:tc>
        <w:tc>
          <w:tcPr>
            <w:tcW w:type="dxa" w:w="3456"/>
          </w:tcPr>
          <w:p>
            <w:pPr>
              <w:jc w:val="center"/>
            </w:pPr>
            <w:r>
              <w:rPr>
                <w:sz w:val="16"/>
              </w:rPr>
              <w:t>0</w:t>
            </w:r>
          </w:p>
        </w:tc>
      </w:tr>
      <w:tr>
        <w:tc>
          <w:tcPr>
            <w:tcW w:type="dxa" w:w="3456"/>
          </w:tcPr>
          <w:p>
            <w:pPr>
              <w:jc w:val="center"/>
            </w:pPr>
            <w:r>
              <w:rPr>
                <w:sz w:val="16"/>
              </w:rPr>
              <w:t>Birebir kopya</w:t>
            </w:r>
          </w:p>
        </w:tc>
        <w:tc>
          <w:tcPr>
            <w:tcW w:type="dxa" w:w="3456"/>
          </w:tcPr>
          <w:p>
            <w:pPr>
              <w:jc w:val="center"/>
            </w:pPr>
            <w:r>
              <w:rPr>
                <w:sz w:val="16"/>
              </w:rPr>
              <w:t>0</w:t>
            </w:r>
          </w:p>
        </w:tc>
        <w:tc>
          <w:tcPr>
            <w:tcW w:type="dxa" w:w="3456"/>
          </w:tcPr>
          <w:p>
            <w:pPr>
              <w:jc w:val="center"/>
            </w:pPr>
            <w:r>
              <w:rPr>
                <w:sz w:val="16"/>
              </w:rPr>
              <w:t>0</w:t>
            </w:r>
          </w:p>
        </w:tc>
      </w:tr>
      <w:tr>
        <w:tc>
          <w:tcPr>
            <w:tcW w:type="dxa" w:w="3456"/>
          </w:tcPr>
          <w:p>
            <w:pPr>
              <w:jc w:val="center"/>
            </w:pPr>
            <w:r>
              <w:rPr>
                <w:sz w:val="16"/>
              </w:rPr>
              <w:t>Çok yakın benzerlik oranı</w:t>
            </w:r>
          </w:p>
        </w:tc>
        <w:tc>
          <w:tcPr>
            <w:tcW w:type="dxa" w:w="3456"/>
          </w:tcPr>
          <w:p>
            <w:pPr>
              <w:jc w:val="center"/>
            </w:pPr>
            <w:r>
              <w:rPr>
                <w:sz w:val="16"/>
              </w:rPr>
              <w:t>Raporlanır</w:t>
            </w:r>
          </w:p>
        </w:tc>
        <w:tc>
          <w:tcPr>
            <w:tcW w:type="dxa" w:w="3456"/>
          </w:tcPr>
          <w:p>
            <w:pPr>
              <w:jc w:val="center"/>
            </w:pPr>
            <w:r>
              <w:rPr>
                <w:sz w:val="16"/>
              </w:rPr>
              <w:t>0.0000</w:t>
            </w:r>
          </w:p>
        </w:tc>
      </w:tr>
      <w:tr>
        <w:tc>
          <w:tcPr>
            <w:tcW w:type="dxa" w:w="3456"/>
          </w:tcPr>
          <w:p>
            <w:pPr>
              <w:jc w:val="center"/>
            </w:pPr>
            <w:r>
              <w:rPr>
                <w:sz w:val="16"/>
              </w:rPr>
              <w:t>Minimum mesafe</w:t>
            </w:r>
          </w:p>
        </w:tc>
        <w:tc>
          <w:tcPr>
            <w:tcW w:type="dxa" w:w="3456"/>
          </w:tcPr>
          <w:p>
            <w:pPr>
              <w:jc w:val="center"/>
            </w:pPr>
            <w:r>
              <w:rPr>
                <w:sz w:val="16"/>
              </w:rPr>
              <w:t>Raporlanır</w:t>
            </w:r>
          </w:p>
        </w:tc>
        <w:tc>
          <w:tcPr>
            <w:tcW w:type="dxa" w:w="3456"/>
          </w:tcPr>
          <w:p>
            <w:pPr>
              <w:jc w:val="center"/>
            </w:pPr>
            <w:r>
              <w:rPr>
                <w:sz w:val="16"/>
              </w:rPr>
              <w:t>0.0570</w:t>
            </w:r>
          </w:p>
        </w:tc>
      </w:tr>
      <w:tr>
        <w:tc>
          <w:tcPr>
            <w:tcW w:type="dxa" w:w="3456"/>
          </w:tcPr>
          <w:p>
            <w:pPr>
              <w:jc w:val="center"/>
            </w:pPr>
            <w:r>
              <w:rPr>
                <w:sz w:val="16"/>
              </w:rPr>
              <w:t>Dış kontrol kaynak çakışması</w:t>
            </w:r>
          </w:p>
        </w:tc>
        <w:tc>
          <w:tcPr>
            <w:tcW w:type="dxa" w:w="3456"/>
          </w:tcPr>
          <w:p>
            <w:pPr>
              <w:jc w:val="center"/>
            </w:pPr>
            <w:r>
              <w:rPr>
                <w:sz w:val="16"/>
              </w:rPr>
              <w:t>0</w:t>
            </w:r>
          </w:p>
        </w:tc>
        <w:tc>
          <w:tcPr>
            <w:tcW w:type="dxa" w:w="3456"/>
          </w:tcPr>
          <w:p>
            <w:pPr>
              <w:jc w:val="center"/>
            </w:pPr>
            <w:r>
              <w:rPr>
                <w:sz w:val="16"/>
              </w:rPr>
              <w:t>0</w:t>
            </w:r>
          </w:p>
        </w:tc>
      </w:tr>
      <w:tr>
        <w:tc>
          <w:tcPr>
            <w:tcW w:type="dxa" w:w="3456"/>
          </w:tcPr>
          <w:p>
            <w:pPr>
              <w:jc w:val="center"/>
            </w:pPr>
            <w:r>
              <w:rPr>
                <w:sz w:val="16"/>
              </w:rPr>
              <w:t>Bağımsız sentetik kaynak aile</w:t>
            </w:r>
          </w:p>
        </w:tc>
        <w:tc>
          <w:tcPr>
            <w:tcW w:type="dxa" w:w="3456"/>
          </w:tcPr>
          <w:p>
            <w:pPr>
              <w:jc w:val="center"/>
            </w:pPr>
            <w:r>
              <w:rPr>
                <w:sz w:val="16"/>
              </w:rPr>
              <w:t>0</w:t>
            </w:r>
          </w:p>
        </w:tc>
        <w:tc>
          <w:tcPr>
            <w:tcW w:type="dxa" w:w="3456"/>
          </w:tcPr>
          <w:p>
            <w:pPr>
              <w:jc w:val="center"/>
            </w:pPr>
            <w:r>
              <w:rPr>
                <w:sz w:val="16"/>
              </w:rPr>
              <w:t>0</w:t>
            </w:r>
          </w:p>
        </w:tc>
      </w:tr>
    </w:tbl>
    <w:p/>
    <w:p>
      <w:pPr>
        <w:jc w:val="center"/>
      </w:pPr>
      <w:r>
        <w:drawing>
          <wp:inline xmlns:a="http://schemas.openxmlformats.org/drawingml/2006/main" xmlns:pic="http://schemas.openxmlformats.org/drawingml/2006/picture">
            <wp:extent cx="5303520" cy="2357120"/>
            <wp:docPr id="3" name="Picture 3"/>
            <wp:cNvGraphicFramePr>
              <a:graphicFrameLocks noChangeAspect="1"/>
            </wp:cNvGraphicFramePr>
            <a:graphic>
              <a:graphicData uri="http://schemas.openxmlformats.org/drawingml/2006/picture">
                <pic:pic>
                  <pic:nvPicPr>
                    <pic:cNvPr id="0" name="small_scale_literatur_protokol_ozeti.png"/>
                    <pic:cNvPicPr/>
                  </pic:nvPicPr>
                  <pic:blipFill>
                    <a:blip r:embed="rId11"/>
                    <a:stretch>
                      <a:fillRect/>
                    </a:stretch>
                  </pic:blipFill>
                  <pic:spPr>
                    <a:xfrm>
                      <a:off x="0" y="0"/>
                      <a:ext cx="5303520" cy="2357120"/>
                    </a:xfrm>
                    <a:prstGeom prst="rect"/>
                  </pic:spPr>
                </pic:pic>
              </a:graphicData>
            </a:graphic>
          </wp:inline>
        </w:drawing>
      </w:r>
    </w:p>
    <w:p>
      <w:pPr>
        <w:jc w:val="center"/>
      </w:pPr>
      <w:r>
        <w:rPr>
          <w:i/>
          <w:sz w:val="16"/>
        </w:rPr>
        <w:t>Doğrulama protokolünde yalnız skor değil, veri üretim ve sızıntı kontrolleri de raporlanmıştır.</w:t>
      </w:r>
    </w:p>
    <w:p>
      <w:r>
        <w:br w:type="page"/>
      </w:r>
    </w:p>
    <w:p>
      <w:pPr>
        <w:pStyle w:val="Heading1"/>
      </w:pPr>
      <w:r>
        <w:t>Aday Taraması Sonuçları</w:t>
      </w:r>
    </w:p>
    <w:p>
      <w:pPr>
        <w:spacing w:line="259" w:lineRule="auto" w:after="0"/>
      </w:pPr>
      <w:r>
        <w:t>Aşağıdaki tablo, her sınıf başı hedefte en iyi holdout sonucunu ve aynı hedef için raporlanan grup çapraz doğrulama özetini birlikte göstermektedir. Böylece küçük adayların neden elendiği, seçilen adayın neden öne çıktığı ve 2500/2500 referansının neden daha büyük kaldığı hızlıca izlenebilir.</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1F4E79"/>
          </w:tcPr>
          <w:p>
            <w:pPr>
              <w:jc w:val="center"/>
            </w:pPr>
            <w:r>
              <w:rPr>
                <w:b/>
                <w:color w:val="FFFFFF"/>
                <w:sz w:val="12"/>
              </w:rPr>
              <w:t>Aday</w:t>
            </w:r>
          </w:p>
        </w:tc>
        <w:tc>
          <w:tcPr>
            <w:tcW w:type="dxa" w:w="1296"/>
            <w:shd w:fill="1F4E79"/>
          </w:tcPr>
          <w:p>
            <w:pPr>
              <w:jc w:val="center"/>
            </w:pPr>
            <w:r>
              <w:rPr>
                <w:b/>
                <w:color w:val="FFFFFF"/>
                <w:sz w:val="12"/>
              </w:rPr>
              <w:t>En iyi model</w:t>
            </w:r>
          </w:p>
        </w:tc>
        <w:tc>
          <w:tcPr>
            <w:tcW w:type="dxa" w:w="1296"/>
            <w:shd w:fill="1F4E79"/>
          </w:tcPr>
          <w:p>
            <w:pPr>
              <w:jc w:val="center"/>
            </w:pPr>
            <w:r>
              <w:rPr>
                <w:b/>
                <w:color w:val="FFFFFF"/>
                <w:sz w:val="12"/>
              </w:rPr>
              <w:t>Doğruluk</w:t>
            </w:r>
          </w:p>
        </w:tc>
        <w:tc>
          <w:tcPr>
            <w:tcW w:type="dxa" w:w="1296"/>
            <w:shd w:fill="1F4E79"/>
          </w:tcPr>
          <w:p>
            <w:pPr>
              <w:jc w:val="center"/>
            </w:pPr>
            <w:r>
              <w:rPr>
                <w:b/>
                <w:color w:val="FFFFFF"/>
                <w:sz w:val="12"/>
              </w:rPr>
              <w:t>Min ana</w:t>
            </w:r>
          </w:p>
        </w:tc>
        <w:tc>
          <w:tcPr>
            <w:tcW w:type="dxa" w:w="1296"/>
            <w:shd w:fill="1F4E79"/>
          </w:tcPr>
          <w:p>
            <w:pPr>
              <w:jc w:val="center"/>
            </w:pPr>
            <w:r>
              <w:rPr>
                <w:b/>
                <w:color w:val="FFFFFF"/>
                <w:sz w:val="12"/>
              </w:rPr>
              <w:t>Grup CV min ana</w:t>
            </w:r>
          </w:p>
        </w:tc>
        <w:tc>
          <w:tcPr>
            <w:tcW w:type="dxa" w:w="1296"/>
            <w:shd w:fill="1F4E79"/>
          </w:tcPr>
          <w:p>
            <w:pPr>
              <w:jc w:val="center"/>
            </w:pPr>
            <w:r>
              <w:rPr>
                <w:b/>
                <w:color w:val="FFFFFF"/>
                <w:sz w:val="12"/>
              </w:rPr>
              <w:t>Cohen's d</w:t>
            </w:r>
          </w:p>
        </w:tc>
        <w:tc>
          <w:tcPr>
            <w:tcW w:type="dxa" w:w="1296"/>
            <w:shd w:fill="1F4E79"/>
          </w:tcPr>
          <w:p>
            <w:pPr>
              <w:jc w:val="center"/>
            </w:pPr>
            <w:r>
              <w:rPr>
                <w:b/>
                <w:color w:val="FFFFFF"/>
                <w:sz w:val="12"/>
              </w:rPr>
              <w:t>Shift</w:t>
            </w:r>
          </w:p>
        </w:tc>
        <w:tc>
          <w:tcPr>
            <w:tcW w:type="dxa" w:w="1296"/>
            <w:shd w:fill="1F4E79"/>
          </w:tcPr>
          <w:p>
            <w:pPr>
              <w:jc w:val="center"/>
            </w:pPr>
            <w:r>
              <w:rPr>
                <w:b/>
                <w:color w:val="FFFFFF"/>
                <w:sz w:val="12"/>
              </w:rPr>
              <w:t>Durum</w:t>
            </w:r>
          </w:p>
        </w:tc>
      </w:tr>
      <w:tr>
        <w:tc>
          <w:tcPr>
            <w:tcW w:type="dxa" w:w="1296"/>
          </w:tcPr>
          <w:p>
            <w:pPr>
              <w:jc w:val="center"/>
            </w:pPr>
            <w:r>
              <w:rPr>
                <w:sz w:val="12"/>
              </w:rPr>
              <w:t>500/500</w:t>
            </w:r>
          </w:p>
        </w:tc>
        <w:tc>
          <w:tcPr>
            <w:tcW w:type="dxa" w:w="1296"/>
          </w:tcPr>
          <w:p>
            <w:pPr>
              <w:jc w:val="center"/>
            </w:pPr>
            <w:r>
              <w:rPr>
                <w:sz w:val="12"/>
              </w:rPr>
              <w:t>XGBoost + LightGBM + ExtraTrees soft voting</w:t>
            </w:r>
          </w:p>
        </w:tc>
        <w:tc>
          <w:tcPr>
            <w:tcW w:type="dxa" w:w="1296"/>
          </w:tcPr>
          <w:p>
            <w:pPr>
              <w:jc w:val="center"/>
            </w:pPr>
            <w:r>
              <w:rPr>
                <w:sz w:val="12"/>
              </w:rPr>
              <w:t>%92.00</w:t>
            </w:r>
          </w:p>
        </w:tc>
        <w:tc>
          <w:tcPr>
            <w:tcW w:type="dxa" w:w="1296"/>
          </w:tcPr>
          <w:p>
            <w:pPr>
              <w:jc w:val="center"/>
            </w:pPr>
            <w:r>
              <w:rPr>
                <w:sz w:val="12"/>
              </w:rPr>
              <w:t>%91.00</w:t>
            </w:r>
          </w:p>
        </w:tc>
        <w:tc>
          <w:tcPr>
            <w:tcW w:type="dxa" w:w="1296"/>
          </w:tcPr>
          <w:p>
            <w:pPr>
              <w:jc w:val="center"/>
            </w:pPr>
            <w:r>
              <w:rPr>
                <w:sz w:val="12"/>
              </w:rPr>
              <w:t>%85.60 ± 0.026</w:t>
            </w:r>
          </w:p>
        </w:tc>
        <w:tc>
          <w:tcPr>
            <w:tcW w:type="dxa" w:w="1296"/>
          </w:tcPr>
          <w:p>
            <w:pPr>
              <w:jc w:val="center"/>
            </w:pPr>
            <w:r>
              <w:rPr>
                <w:sz w:val="12"/>
              </w:rPr>
              <w:t>0.836</w:t>
            </w:r>
          </w:p>
        </w:tc>
        <w:tc>
          <w:tcPr>
            <w:tcW w:type="dxa" w:w="1296"/>
          </w:tcPr>
          <w:p>
            <w:pPr>
              <w:jc w:val="center"/>
            </w:pPr>
            <w:r>
              <w:rPr>
                <w:sz w:val="12"/>
              </w:rPr>
              <w:t>0.115</w:t>
            </w:r>
          </w:p>
        </w:tc>
        <w:tc>
          <w:tcPr>
            <w:tcW w:type="dxa" w:w="1296"/>
          </w:tcPr>
          <w:p>
            <w:pPr>
              <w:jc w:val="center"/>
            </w:pPr>
            <w:r>
              <w:rPr>
                <w:sz w:val="12"/>
              </w:rPr>
              <w:t>Geçmedi</w:t>
            </w:r>
          </w:p>
        </w:tc>
      </w:tr>
      <w:tr>
        <w:tc>
          <w:tcPr>
            <w:tcW w:type="dxa" w:w="1296"/>
          </w:tcPr>
          <w:p>
            <w:pPr>
              <w:jc w:val="center"/>
            </w:pPr>
            <w:r>
              <w:rPr>
                <w:sz w:val="12"/>
              </w:rPr>
              <w:t>650/650</w:t>
            </w:r>
          </w:p>
        </w:tc>
        <w:tc>
          <w:tcPr>
            <w:tcW w:type="dxa" w:w="1296"/>
          </w:tcPr>
          <w:p>
            <w:pPr>
              <w:jc w:val="center"/>
            </w:pPr>
            <w:r>
              <w:rPr>
                <w:sz w:val="12"/>
              </w:rPr>
              <w:t>XGBoost + LightGBM + ExtraTrees soft voting</w:t>
            </w:r>
          </w:p>
        </w:tc>
        <w:tc>
          <w:tcPr>
            <w:tcW w:type="dxa" w:w="1296"/>
          </w:tcPr>
          <w:p>
            <w:pPr>
              <w:jc w:val="center"/>
            </w:pPr>
            <w:r>
              <w:rPr>
                <w:sz w:val="12"/>
              </w:rPr>
              <w:t>%91.99</w:t>
            </w:r>
          </w:p>
        </w:tc>
        <w:tc>
          <w:tcPr>
            <w:tcW w:type="dxa" w:w="1296"/>
          </w:tcPr>
          <w:p>
            <w:pPr>
              <w:jc w:val="center"/>
            </w:pPr>
            <w:r>
              <w:rPr>
                <w:sz w:val="12"/>
              </w:rPr>
              <w:t>%91.61</w:t>
            </w:r>
          </w:p>
        </w:tc>
        <w:tc>
          <w:tcPr>
            <w:tcW w:type="dxa" w:w="1296"/>
          </w:tcPr>
          <w:p>
            <w:pPr>
              <w:jc w:val="center"/>
            </w:pPr>
            <w:r>
              <w:rPr>
                <w:sz w:val="12"/>
              </w:rPr>
              <w:t>%87.38 ± 0.021</w:t>
            </w:r>
          </w:p>
        </w:tc>
        <w:tc>
          <w:tcPr>
            <w:tcW w:type="dxa" w:w="1296"/>
          </w:tcPr>
          <w:p>
            <w:pPr>
              <w:jc w:val="center"/>
            </w:pPr>
            <w:r>
              <w:rPr>
                <w:sz w:val="12"/>
              </w:rPr>
              <w:t>1.050</w:t>
            </w:r>
          </w:p>
        </w:tc>
        <w:tc>
          <w:tcPr>
            <w:tcW w:type="dxa" w:w="1296"/>
          </w:tcPr>
          <w:p>
            <w:pPr>
              <w:jc w:val="center"/>
            </w:pPr>
            <w:r>
              <w:rPr>
                <w:sz w:val="12"/>
              </w:rPr>
              <w:t>0.125</w:t>
            </w:r>
          </w:p>
        </w:tc>
        <w:tc>
          <w:tcPr>
            <w:tcW w:type="dxa" w:w="1296"/>
          </w:tcPr>
          <w:p>
            <w:pPr>
              <w:jc w:val="center"/>
            </w:pPr>
            <w:r>
              <w:rPr>
                <w:sz w:val="12"/>
              </w:rPr>
              <w:t>Geçmedi</w:t>
            </w:r>
          </w:p>
        </w:tc>
      </w:tr>
      <w:tr>
        <w:tc>
          <w:tcPr>
            <w:tcW w:type="dxa" w:w="1296"/>
          </w:tcPr>
          <w:p>
            <w:pPr>
              <w:jc w:val="center"/>
            </w:pPr>
            <w:r>
              <w:rPr>
                <w:sz w:val="12"/>
              </w:rPr>
              <w:t>800/800</w:t>
            </w:r>
          </w:p>
        </w:tc>
        <w:tc>
          <w:tcPr>
            <w:tcW w:type="dxa" w:w="1296"/>
          </w:tcPr>
          <w:p>
            <w:pPr>
              <w:jc w:val="center"/>
            </w:pPr>
            <w:r>
              <w:rPr>
                <w:sz w:val="12"/>
              </w:rPr>
              <w:t>XGBoost + LightGBM + ExtraTrees soft voting</w:t>
            </w:r>
          </w:p>
        </w:tc>
        <w:tc>
          <w:tcPr>
            <w:tcW w:type="dxa" w:w="1296"/>
          </w:tcPr>
          <w:p>
            <w:pPr>
              <w:jc w:val="center"/>
            </w:pPr>
            <w:r>
              <w:rPr>
                <w:sz w:val="12"/>
              </w:rPr>
              <w:t>%91.19</w:t>
            </w:r>
          </w:p>
        </w:tc>
        <w:tc>
          <w:tcPr>
            <w:tcW w:type="dxa" w:w="1296"/>
          </w:tcPr>
          <w:p>
            <w:pPr>
              <w:jc w:val="center"/>
            </w:pPr>
            <w:r>
              <w:rPr>
                <w:sz w:val="12"/>
              </w:rPr>
              <w:t>%91.19</w:t>
            </w:r>
          </w:p>
        </w:tc>
        <w:tc>
          <w:tcPr>
            <w:tcW w:type="dxa" w:w="1296"/>
          </w:tcPr>
          <w:p>
            <w:pPr>
              <w:jc w:val="center"/>
            </w:pPr>
            <w:r>
              <w:rPr>
                <w:sz w:val="12"/>
              </w:rPr>
              <w:t>%90.00 ± 0.012</w:t>
            </w:r>
          </w:p>
        </w:tc>
        <w:tc>
          <w:tcPr>
            <w:tcW w:type="dxa" w:w="1296"/>
          </w:tcPr>
          <w:p>
            <w:pPr>
              <w:jc w:val="center"/>
            </w:pPr>
            <w:r>
              <w:rPr>
                <w:sz w:val="12"/>
              </w:rPr>
              <w:t>1.281</w:t>
            </w:r>
          </w:p>
        </w:tc>
        <w:tc>
          <w:tcPr>
            <w:tcW w:type="dxa" w:w="1296"/>
          </w:tcPr>
          <w:p>
            <w:pPr>
              <w:jc w:val="center"/>
            </w:pPr>
            <w:r>
              <w:rPr>
                <w:sz w:val="12"/>
              </w:rPr>
              <w:t>0.117</w:t>
            </w:r>
          </w:p>
        </w:tc>
        <w:tc>
          <w:tcPr>
            <w:tcW w:type="dxa" w:w="1296"/>
          </w:tcPr>
          <w:p>
            <w:pPr>
              <w:jc w:val="center"/>
            </w:pPr>
            <w:r>
              <w:rPr>
                <w:sz w:val="12"/>
              </w:rPr>
              <w:t>Geçmedi</w:t>
            </w:r>
          </w:p>
        </w:tc>
      </w:tr>
      <w:tr>
        <w:tc>
          <w:tcPr>
            <w:tcW w:type="dxa" w:w="1296"/>
          </w:tcPr>
          <w:p>
            <w:pPr>
              <w:jc w:val="center"/>
            </w:pPr>
            <w:r>
              <w:rPr>
                <w:sz w:val="12"/>
              </w:rPr>
              <w:t>1000/1000</w:t>
            </w:r>
          </w:p>
        </w:tc>
        <w:tc>
          <w:tcPr>
            <w:tcW w:type="dxa" w:w="1296"/>
          </w:tcPr>
          <w:p>
            <w:pPr>
              <w:jc w:val="center"/>
            </w:pPr>
            <w:r>
              <w:rPr>
                <w:sz w:val="12"/>
              </w:rPr>
              <w:t>ExtraTrees</w:t>
            </w:r>
          </w:p>
        </w:tc>
        <w:tc>
          <w:tcPr>
            <w:tcW w:type="dxa" w:w="1296"/>
          </w:tcPr>
          <w:p>
            <w:pPr>
              <w:jc w:val="center"/>
            </w:pPr>
            <w:r>
              <w:rPr>
                <w:sz w:val="12"/>
              </w:rPr>
              <w:t>%93.93</w:t>
            </w:r>
          </w:p>
        </w:tc>
        <w:tc>
          <w:tcPr>
            <w:tcW w:type="dxa" w:w="1296"/>
          </w:tcPr>
          <w:p>
            <w:pPr>
              <w:jc w:val="center"/>
            </w:pPr>
            <w:r>
              <w:rPr>
                <w:sz w:val="12"/>
              </w:rPr>
              <w:t>%93.43</w:t>
            </w:r>
          </w:p>
        </w:tc>
        <w:tc>
          <w:tcPr>
            <w:tcW w:type="dxa" w:w="1296"/>
          </w:tcPr>
          <w:p>
            <w:pPr>
              <w:jc w:val="center"/>
            </w:pPr>
            <w:r>
              <w:rPr>
                <w:sz w:val="12"/>
              </w:rPr>
              <w:t>%91.80 ± 0.012</w:t>
            </w:r>
          </w:p>
        </w:tc>
        <w:tc>
          <w:tcPr>
            <w:tcW w:type="dxa" w:w="1296"/>
          </w:tcPr>
          <w:p>
            <w:pPr>
              <w:jc w:val="center"/>
            </w:pPr>
            <w:r>
              <w:rPr>
                <w:sz w:val="12"/>
              </w:rPr>
              <w:t>1.382</w:t>
            </w:r>
          </w:p>
        </w:tc>
        <w:tc>
          <w:tcPr>
            <w:tcW w:type="dxa" w:w="1296"/>
          </w:tcPr>
          <w:p>
            <w:pPr>
              <w:jc w:val="center"/>
            </w:pPr>
            <w:r>
              <w:rPr>
                <w:sz w:val="12"/>
              </w:rPr>
              <w:t>0.112</w:t>
            </w:r>
          </w:p>
        </w:tc>
        <w:tc>
          <w:tcPr>
            <w:tcW w:type="dxa" w:w="1296"/>
          </w:tcPr>
          <w:p>
            <w:pPr>
              <w:jc w:val="center"/>
            </w:pPr>
            <w:r>
              <w:rPr>
                <w:sz w:val="12"/>
              </w:rPr>
              <w:t>Seçildi</w:t>
            </w:r>
          </w:p>
        </w:tc>
      </w:tr>
      <w:tr>
        <w:tc>
          <w:tcPr>
            <w:tcW w:type="dxa" w:w="1296"/>
          </w:tcPr>
          <w:p>
            <w:pPr>
              <w:jc w:val="center"/>
            </w:pPr>
            <w:r>
              <w:rPr>
                <w:sz w:val="12"/>
              </w:rPr>
              <w:t>1250/1250</w:t>
            </w:r>
          </w:p>
        </w:tc>
        <w:tc>
          <w:tcPr>
            <w:tcW w:type="dxa" w:w="1296"/>
          </w:tcPr>
          <w:p>
            <w:pPr>
              <w:jc w:val="center"/>
            </w:pPr>
            <w:r>
              <w:rPr>
                <w:sz w:val="12"/>
              </w:rPr>
              <w:t>XGBoost + LightGBM + ExtraTrees soft voting</w:t>
            </w:r>
          </w:p>
        </w:tc>
        <w:tc>
          <w:tcPr>
            <w:tcW w:type="dxa" w:w="1296"/>
          </w:tcPr>
          <w:p>
            <w:pPr>
              <w:jc w:val="center"/>
            </w:pPr>
            <w:r>
              <w:rPr>
                <w:sz w:val="12"/>
              </w:rPr>
              <w:t>%94.16</w:t>
            </w:r>
          </w:p>
        </w:tc>
        <w:tc>
          <w:tcPr>
            <w:tcW w:type="dxa" w:w="1296"/>
          </w:tcPr>
          <w:p>
            <w:pPr>
              <w:jc w:val="center"/>
            </w:pPr>
            <w:r>
              <w:rPr>
                <w:sz w:val="12"/>
              </w:rPr>
              <w:t>%92.61</w:t>
            </w:r>
          </w:p>
        </w:tc>
        <w:tc>
          <w:tcPr>
            <w:tcW w:type="dxa" w:w="1296"/>
          </w:tcPr>
          <w:p>
            <w:pPr>
              <w:jc w:val="center"/>
            </w:pPr>
            <w:r>
              <w:rPr>
                <w:sz w:val="12"/>
              </w:rPr>
              <w:t>%92.56 ± 0.018</w:t>
            </w:r>
          </w:p>
        </w:tc>
        <w:tc>
          <w:tcPr>
            <w:tcW w:type="dxa" w:w="1296"/>
          </w:tcPr>
          <w:p>
            <w:pPr>
              <w:jc w:val="center"/>
            </w:pPr>
            <w:r>
              <w:rPr>
                <w:sz w:val="12"/>
              </w:rPr>
              <w:t>1.208</w:t>
            </w:r>
          </w:p>
        </w:tc>
        <w:tc>
          <w:tcPr>
            <w:tcW w:type="dxa" w:w="1296"/>
          </w:tcPr>
          <w:p>
            <w:pPr>
              <w:jc w:val="center"/>
            </w:pPr>
            <w:r>
              <w:rPr>
                <w:sz w:val="12"/>
              </w:rPr>
              <w:t>0.102</w:t>
            </w:r>
          </w:p>
        </w:tc>
        <w:tc>
          <w:tcPr>
            <w:tcW w:type="dxa" w:w="1296"/>
          </w:tcPr>
          <w:p>
            <w:pPr>
              <w:jc w:val="center"/>
            </w:pPr>
            <w:r>
              <w:rPr>
                <w:sz w:val="12"/>
              </w:rPr>
              <w:t>Geçti, daha büyük</w:t>
            </w:r>
          </w:p>
        </w:tc>
      </w:tr>
      <w:tr>
        <w:tc>
          <w:tcPr>
            <w:tcW w:type="dxa" w:w="1296"/>
          </w:tcPr>
          <w:p>
            <w:pPr>
              <w:jc w:val="center"/>
            </w:pPr>
            <w:r>
              <w:rPr>
                <w:sz w:val="12"/>
              </w:rPr>
              <w:t>1500/1500</w:t>
            </w:r>
          </w:p>
        </w:tc>
        <w:tc>
          <w:tcPr>
            <w:tcW w:type="dxa" w:w="1296"/>
          </w:tcPr>
          <w:p>
            <w:pPr>
              <w:jc w:val="center"/>
            </w:pPr>
            <w:r>
              <w:rPr>
                <w:sz w:val="12"/>
              </w:rPr>
              <w:t>XGBoost + LightGBM + ExtraTrees soft voting</w:t>
            </w:r>
          </w:p>
        </w:tc>
        <w:tc>
          <w:tcPr>
            <w:tcW w:type="dxa" w:w="1296"/>
          </w:tcPr>
          <w:p>
            <w:pPr>
              <w:jc w:val="center"/>
            </w:pPr>
            <w:r>
              <w:rPr>
                <w:sz w:val="12"/>
              </w:rPr>
              <w:t>%94.80</w:t>
            </w:r>
          </w:p>
        </w:tc>
        <w:tc>
          <w:tcPr>
            <w:tcW w:type="dxa" w:w="1296"/>
          </w:tcPr>
          <w:p>
            <w:pPr>
              <w:jc w:val="center"/>
            </w:pPr>
            <w:r>
              <w:rPr>
                <w:sz w:val="12"/>
              </w:rPr>
              <w:t>%94.79</w:t>
            </w:r>
          </w:p>
        </w:tc>
        <w:tc>
          <w:tcPr>
            <w:tcW w:type="dxa" w:w="1296"/>
          </w:tcPr>
          <w:p>
            <w:pPr>
              <w:jc w:val="center"/>
            </w:pPr>
            <w:r>
              <w:rPr>
                <w:sz w:val="12"/>
              </w:rPr>
              <w:t>%93.80 ± 0.025</w:t>
            </w:r>
          </w:p>
        </w:tc>
        <w:tc>
          <w:tcPr>
            <w:tcW w:type="dxa" w:w="1296"/>
          </w:tcPr>
          <w:p>
            <w:pPr>
              <w:jc w:val="center"/>
            </w:pPr>
            <w:r>
              <w:rPr>
                <w:sz w:val="12"/>
              </w:rPr>
              <w:t>1.583</w:t>
            </w:r>
          </w:p>
        </w:tc>
        <w:tc>
          <w:tcPr>
            <w:tcW w:type="dxa" w:w="1296"/>
          </w:tcPr>
          <w:p>
            <w:pPr>
              <w:jc w:val="center"/>
            </w:pPr>
            <w:r>
              <w:rPr>
                <w:sz w:val="12"/>
              </w:rPr>
              <w:t>0.112</w:t>
            </w:r>
          </w:p>
        </w:tc>
        <w:tc>
          <w:tcPr>
            <w:tcW w:type="dxa" w:w="1296"/>
          </w:tcPr>
          <w:p>
            <w:pPr>
              <w:jc w:val="center"/>
            </w:pPr>
            <w:r>
              <w:rPr>
                <w:sz w:val="12"/>
              </w:rPr>
              <w:t>Geçti, daha büyük</w:t>
            </w:r>
          </w:p>
        </w:tc>
      </w:tr>
      <w:tr>
        <w:tc>
          <w:tcPr>
            <w:tcW w:type="dxa" w:w="1296"/>
          </w:tcPr>
          <w:p>
            <w:pPr>
              <w:jc w:val="center"/>
            </w:pPr>
            <w:r>
              <w:rPr>
                <w:sz w:val="12"/>
              </w:rPr>
              <w:t>2000/2000</w:t>
            </w:r>
          </w:p>
        </w:tc>
        <w:tc>
          <w:tcPr>
            <w:tcW w:type="dxa" w:w="1296"/>
          </w:tcPr>
          <w:p>
            <w:pPr>
              <w:jc w:val="center"/>
            </w:pPr>
            <w:r>
              <w:rPr>
                <w:sz w:val="12"/>
              </w:rPr>
              <w:t>LightGBM</w:t>
            </w:r>
          </w:p>
        </w:tc>
        <w:tc>
          <w:tcPr>
            <w:tcW w:type="dxa" w:w="1296"/>
          </w:tcPr>
          <w:p>
            <w:pPr>
              <w:jc w:val="center"/>
            </w:pPr>
            <w:r>
              <w:rPr>
                <w:sz w:val="12"/>
              </w:rPr>
              <w:t>%96.39</w:t>
            </w:r>
          </w:p>
        </w:tc>
        <w:tc>
          <w:tcPr>
            <w:tcW w:type="dxa" w:w="1296"/>
          </w:tcPr>
          <w:p>
            <w:pPr>
              <w:jc w:val="center"/>
            </w:pPr>
            <w:r>
              <w:rPr>
                <w:sz w:val="12"/>
              </w:rPr>
              <w:t>%96.38</w:t>
            </w:r>
          </w:p>
        </w:tc>
        <w:tc>
          <w:tcPr>
            <w:tcW w:type="dxa" w:w="1296"/>
          </w:tcPr>
          <w:p>
            <w:pPr>
              <w:jc w:val="center"/>
            </w:pPr>
            <w:r>
              <w:rPr>
                <w:sz w:val="12"/>
              </w:rPr>
              <w:t>%95.54 ± 0.003</w:t>
            </w:r>
          </w:p>
        </w:tc>
        <w:tc>
          <w:tcPr>
            <w:tcW w:type="dxa" w:w="1296"/>
          </w:tcPr>
          <w:p>
            <w:pPr>
              <w:jc w:val="center"/>
            </w:pPr>
            <w:r>
              <w:rPr>
                <w:sz w:val="12"/>
              </w:rPr>
              <w:t>1.771</w:t>
            </w:r>
          </w:p>
        </w:tc>
        <w:tc>
          <w:tcPr>
            <w:tcW w:type="dxa" w:w="1296"/>
          </w:tcPr>
          <w:p>
            <w:pPr>
              <w:jc w:val="center"/>
            </w:pPr>
            <w:r>
              <w:rPr>
                <w:sz w:val="12"/>
              </w:rPr>
              <w:t>0.111</w:t>
            </w:r>
          </w:p>
        </w:tc>
        <w:tc>
          <w:tcPr>
            <w:tcW w:type="dxa" w:w="1296"/>
          </w:tcPr>
          <w:p>
            <w:pPr>
              <w:jc w:val="center"/>
            </w:pPr>
            <w:r>
              <w:rPr>
                <w:sz w:val="12"/>
              </w:rPr>
              <w:t>Geçti, daha büyük</w:t>
            </w:r>
          </w:p>
        </w:tc>
      </w:tr>
      <w:tr>
        <w:tc>
          <w:tcPr>
            <w:tcW w:type="dxa" w:w="1296"/>
          </w:tcPr>
          <w:p>
            <w:pPr>
              <w:jc w:val="center"/>
            </w:pPr>
            <w:r>
              <w:rPr>
                <w:sz w:val="12"/>
              </w:rPr>
              <w:t>2250/2250</w:t>
            </w:r>
          </w:p>
        </w:tc>
        <w:tc>
          <w:tcPr>
            <w:tcW w:type="dxa" w:w="1296"/>
          </w:tcPr>
          <w:p>
            <w:pPr>
              <w:jc w:val="center"/>
            </w:pPr>
            <w:r>
              <w:rPr>
                <w:sz w:val="12"/>
              </w:rPr>
              <w:t>ExtraTrees</w:t>
            </w:r>
          </w:p>
        </w:tc>
        <w:tc>
          <w:tcPr>
            <w:tcW w:type="dxa" w:w="1296"/>
          </w:tcPr>
          <w:p>
            <w:pPr>
              <w:jc w:val="center"/>
            </w:pPr>
            <w:r>
              <w:rPr>
                <w:sz w:val="12"/>
              </w:rPr>
              <w:t>%96.76</w:t>
            </w:r>
          </w:p>
        </w:tc>
        <w:tc>
          <w:tcPr>
            <w:tcW w:type="dxa" w:w="1296"/>
          </w:tcPr>
          <w:p>
            <w:pPr>
              <w:jc w:val="center"/>
            </w:pPr>
            <w:r>
              <w:rPr>
                <w:sz w:val="12"/>
              </w:rPr>
              <w:t>%96.64</w:t>
            </w:r>
          </w:p>
        </w:tc>
        <w:tc>
          <w:tcPr>
            <w:tcW w:type="dxa" w:w="1296"/>
          </w:tcPr>
          <w:p>
            <w:pPr>
              <w:jc w:val="center"/>
            </w:pPr>
            <w:r>
              <w:rPr>
                <w:sz w:val="12"/>
              </w:rPr>
              <w:t>%95.95 ± 0.003</w:t>
            </w:r>
          </w:p>
        </w:tc>
        <w:tc>
          <w:tcPr>
            <w:tcW w:type="dxa" w:w="1296"/>
          </w:tcPr>
          <w:p>
            <w:pPr>
              <w:jc w:val="center"/>
            </w:pPr>
            <w:r>
              <w:rPr>
                <w:sz w:val="12"/>
              </w:rPr>
              <w:t>1.815</w:t>
            </w:r>
          </w:p>
        </w:tc>
        <w:tc>
          <w:tcPr>
            <w:tcW w:type="dxa" w:w="1296"/>
          </w:tcPr>
          <w:p>
            <w:pPr>
              <w:jc w:val="center"/>
            </w:pPr>
            <w:r>
              <w:rPr>
                <w:sz w:val="12"/>
              </w:rPr>
              <w:t>0.114</w:t>
            </w:r>
          </w:p>
        </w:tc>
        <w:tc>
          <w:tcPr>
            <w:tcW w:type="dxa" w:w="1296"/>
          </w:tcPr>
          <w:p>
            <w:pPr>
              <w:jc w:val="center"/>
            </w:pPr>
            <w:r>
              <w:rPr>
                <w:sz w:val="12"/>
              </w:rPr>
              <w:t>Geçti, daha büyük</w:t>
            </w:r>
          </w:p>
        </w:tc>
      </w:tr>
      <w:tr>
        <w:tc>
          <w:tcPr>
            <w:tcW w:type="dxa" w:w="1296"/>
          </w:tcPr>
          <w:p>
            <w:pPr>
              <w:jc w:val="center"/>
            </w:pPr>
            <w:r>
              <w:rPr>
                <w:sz w:val="12"/>
              </w:rPr>
              <w:t>2500/2500</w:t>
            </w:r>
          </w:p>
        </w:tc>
        <w:tc>
          <w:tcPr>
            <w:tcW w:type="dxa" w:w="1296"/>
          </w:tcPr>
          <w:p>
            <w:pPr>
              <w:jc w:val="center"/>
            </w:pPr>
            <w:r>
              <w:rPr>
                <w:sz w:val="12"/>
              </w:rPr>
              <w:t>ExtraTrees</w:t>
            </w:r>
          </w:p>
        </w:tc>
        <w:tc>
          <w:tcPr>
            <w:tcW w:type="dxa" w:w="1296"/>
          </w:tcPr>
          <w:p>
            <w:pPr>
              <w:jc w:val="center"/>
            </w:pPr>
            <w:r>
              <w:rPr>
                <w:sz w:val="12"/>
              </w:rPr>
              <w:t>%96.99</w:t>
            </w:r>
          </w:p>
        </w:tc>
        <w:tc>
          <w:tcPr>
            <w:tcW w:type="dxa" w:w="1296"/>
          </w:tcPr>
          <w:p>
            <w:pPr>
              <w:jc w:val="center"/>
            </w:pPr>
            <w:r>
              <w:rPr>
                <w:sz w:val="12"/>
              </w:rPr>
              <w:t>%96.79</w:t>
            </w:r>
          </w:p>
        </w:tc>
        <w:tc>
          <w:tcPr>
            <w:tcW w:type="dxa" w:w="1296"/>
          </w:tcPr>
          <w:p>
            <w:pPr>
              <w:jc w:val="center"/>
            </w:pPr>
            <w:r>
              <w:rPr>
                <w:sz w:val="12"/>
              </w:rPr>
              <w:t>%96.44 ± 0.004</w:t>
            </w:r>
          </w:p>
        </w:tc>
        <w:tc>
          <w:tcPr>
            <w:tcW w:type="dxa" w:w="1296"/>
          </w:tcPr>
          <w:p>
            <w:pPr>
              <w:jc w:val="center"/>
            </w:pPr>
            <w:r>
              <w:rPr>
                <w:sz w:val="12"/>
              </w:rPr>
              <w:t>1.851</w:t>
            </w:r>
          </w:p>
        </w:tc>
        <w:tc>
          <w:tcPr>
            <w:tcW w:type="dxa" w:w="1296"/>
          </w:tcPr>
          <w:p>
            <w:pPr>
              <w:jc w:val="center"/>
            </w:pPr>
            <w:r>
              <w:rPr>
                <w:sz w:val="12"/>
              </w:rPr>
              <w:t>0.109</w:t>
            </w:r>
          </w:p>
        </w:tc>
        <w:tc>
          <w:tcPr>
            <w:tcW w:type="dxa" w:w="1296"/>
          </w:tcPr>
          <w:p>
            <w:pPr>
              <w:jc w:val="center"/>
            </w:pPr>
            <w:r>
              <w:rPr>
                <w:sz w:val="12"/>
              </w:rPr>
              <w:t>Referans / daha büyük</w:t>
            </w:r>
          </w:p>
        </w:tc>
      </w:tr>
    </w:tbl>
    <w:p/>
    <w:p>
      <w:pPr>
        <w:jc w:val="center"/>
      </w:pPr>
      <w:r>
        <w:drawing>
          <wp:inline xmlns:a="http://schemas.openxmlformats.org/drawingml/2006/main" xmlns:pic="http://schemas.openxmlformats.org/drawingml/2006/picture">
            <wp:extent cx="5669280" cy="2307265"/>
            <wp:docPr id="4" name="Picture 4"/>
            <wp:cNvGraphicFramePr>
              <a:graphicFrameLocks noChangeAspect="1"/>
            </wp:cNvGraphicFramePr>
            <a:graphic>
              <a:graphicData uri="http://schemas.openxmlformats.org/drawingml/2006/picture">
                <pic:pic>
                  <pic:nvPicPr>
                    <pic:cNvPr id="0" name="small_scale_roc_auc.png"/>
                    <pic:cNvPicPr/>
                  </pic:nvPicPr>
                  <pic:blipFill>
                    <a:blip r:embed="rId12"/>
                    <a:stretch>
                      <a:fillRect/>
                    </a:stretch>
                  </pic:blipFill>
                  <pic:spPr>
                    <a:xfrm>
                      <a:off x="0" y="0"/>
                      <a:ext cx="5669280" cy="2307265"/>
                    </a:xfrm>
                    <a:prstGeom prst="rect"/>
                  </pic:spPr>
                </pic:pic>
              </a:graphicData>
            </a:graphic>
          </wp:inline>
        </w:drawing>
      </w:r>
    </w:p>
    <w:p>
      <w:pPr>
        <w:jc w:val="center"/>
      </w:pPr>
      <w:r>
        <w:rPr>
          <w:i/>
          <w:sz w:val="16"/>
        </w:rPr>
        <w:t>ROC-AUC değerleri, sentetik benchmark adaylarının sınıf ayrıştırma gücünü göstermektedir.</w:t>
      </w:r>
    </w:p>
    <w:p>
      <w:pPr>
        <w:jc w:val="center"/>
      </w:pPr>
      <w:r>
        <w:drawing>
          <wp:inline xmlns:a="http://schemas.openxmlformats.org/drawingml/2006/main" xmlns:pic="http://schemas.openxmlformats.org/drawingml/2006/picture">
            <wp:extent cx="5669280" cy="2307265"/>
            <wp:docPr id="5" name="Picture 5"/>
            <wp:cNvGraphicFramePr>
              <a:graphicFrameLocks noChangeAspect="1"/>
            </wp:cNvGraphicFramePr>
            <a:graphic>
              <a:graphicData uri="http://schemas.openxmlformats.org/drawingml/2006/picture">
                <pic:pic>
                  <pic:nvPicPr>
                    <pic:cNvPr id="0" name="small_scale_cv_min_metric.png"/>
                    <pic:cNvPicPr/>
                  </pic:nvPicPr>
                  <pic:blipFill>
                    <a:blip r:embed="rId13"/>
                    <a:stretch>
                      <a:fillRect/>
                    </a:stretch>
                  </pic:blipFill>
                  <pic:spPr>
                    <a:xfrm>
                      <a:off x="0" y="0"/>
                      <a:ext cx="5669280" cy="2307265"/>
                    </a:xfrm>
                    <a:prstGeom prst="rect"/>
                  </pic:spPr>
                </pic:pic>
              </a:graphicData>
            </a:graphic>
          </wp:inline>
        </w:drawing>
      </w:r>
    </w:p>
    <w:p>
      <w:pPr>
        <w:jc w:val="center"/>
      </w:pPr>
      <w:r>
        <w:rPr>
          <w:i/>
          <w:sz w:val="16"/>
        </w:rPr>
        <w:t>Grup çapraz doğrulama sonucu, seçilen adayın tek bir veri ayrımına bağlı olup olmadığını kontrol etmek için kullanılmıştır.</w:t>
      </w:r>
    </w:p>
    <w:p>
      <w:pPr>
        <w:jc w:val="center"/>
      </w:pPr>
      <w:r>
        <w:drawing>
          <wp:inline xmlns:a="http://schemas.openxmlformats.org/drawingml/2006/main" xmlns:pic="http://schemas.openxmlformats.org/drawingml/2006/picture">
            <wp:extent cx="5669280" cy="2307265"/>
            <wp:docPr id="6" name="Picture 6"/>
            <wp:cNvGraphicFramePr>
              <a:graphicFrameLocks noChangeAspect="1"/>
            </wp:cNvGraphicFramePr>
            <a:graphic>
              <a:graphicData uri="http://schemas.openxmlformats.org/drawingml/2006/picture">
                <pic:pic>
                  <pic:nvPicPr>
                    <pic:cNvPr id="0" name="small_scale_class_separation.png"/>
                    <pic:cNvPicPr/>
                  </pic:nvPicPr>
                  <pic:blipFill>
                    <a:blip r:embed="rId14"/>
                    <a:stretch>
                      <a:fillRect/>
                    </a:stretch>
                  </pic:blipFill>
                  <pic:spPr>
                    <a:xfrm>
                      <a:off x="0" y="0"/>
                      <a:ext cx="5669280" cy="2307265"/>
                    </a:xfrm>
                    <a:prstGeom prst="rect"/>
                  </pic:spPr>
                </pic:pic>
              </a:graphicData>
            </a:graphic>
          </wp:inline>
        </w:drawing>
      </w:r>
    </w:p>
    <w:p>
      <w:pPr>
        <w:jc w:val="center"/>
      </w:pPr>
      <w:r>
        <w:rPr>
          <w:i/>
          <w:sz w:val="16"/>
        </w:rPr>
        <w:t>Cohen's d değeri sınıfların birbirinden ne kadar ayrıştığını gösterir; çok yüksek değerler sentetik benchmarkın kolaylaşabileceğine işaret eder.</w:t>
      </w:r>
    </w:p>
    <w:p>
      <w:pPr>
        <w:jc w:val="center"/>
      </w:pPr>
      <w:r>
        <w:drawing>
          <wp:inline xmlns:a="http://schemas.openxmlformats.org/drawingml/2006/main" xmlns:pic="http://schemas.openxmlformats.org/drawingml/2006/picture">
            <wp:extent cx="5669280" cy="2307265"/>
            <wp:docPr id="7" name="Picture 7"/>
            <wp:cNvGraphicFramePr>
              <a:graphicFrameLocks noChangeAspect="1"/>
            </wp:cNvGraphicFramePr>
            <a:graphic>
              <a:graphicData uri="http://schemas.openxmlformats.org/drawingml/2006/picture">
                <pic:pic>
                  <pic:nvPicPr>
                    <pic:cNvPr id="0" name="small_scale_distribution_shift_vs_original_dev.png"/>
                    <pic:cNvPicPr/>
                  </pic:nvPicPr>
                  <pic:blipFill>
                    <a:blip r:embed="rId15"/>
                    <a:stretch>
                      <a:fillRect/>
                    </a:stretch>
                  </pic:blipFill>
                  <pic:spPr>
                    <a:xfrm>
                      <a:off x="0" y="0"/>
                      <a:ext cx="5669280" cy="2307265"/>
                    </a:xfrm>
                    <a:prstGeom prst="rect"/>
                  </pic:spPr>
                </pic:pic>
              </a:graphicData>
            </a:graphic>
          </wp:inline>
        </w:drawing>
      </w:r>
    </w:p>
    <w:p>
      <w:pPr>
        <w:jc w:val="center"/>
      </w:pPr>
      <w:r>
        <w:rPr>
          <w:i/>
          <w:sz w:val="16"/>
        </w:rPr>
        <w:t>Dağılım kayması, aday veri setinin geliştirme verisinden ne kadar uzaklaştığını gösterir.</w:t>
      </w:r>
    </w:p>
    <w:p>
      <w:r>
        <w:br w:type="page"/>
      </w:r>
    </w:p>
    <w:p>
      <w:pPr>
        <w:pStyle w:val="Heading1"/>
      </w:pPr>
      <w:r>
        <w:t>Seçilen Küçük Benchmark Adayı</w:t>
      </w:r>
    </w:p>
    <w:tbl>
      <w:tblPr>
        <w:tblStyle w:val="TableGrid"/>
        <w:tblW w:type="auto" w:w="0"/>
        <w:tblLook w:firstColumn="1" w:firstRow="1" w:lastColumn="0" w:lastRow="0" w:noHBand="0" w:noVBand="1" w:val="04A0"/>
      </w:tblPr>
      <w:tblGrid>
        <w:gridCol w:w="5184"/>
        <w:gridCol w:w="5184"/>
      </w:tblGrid>
      <w:tr>
        <w:tc>
          <w:tcPr>
            <w:tcW w:type="dxa" w:w="5184"/>
            <w:shd w:fill="1F4E79"/>
          </w:tcPr>
          <w:p>
            <w:pPr>
              <w:jc w:val="center"/>
            </w:pPr>
            <w:r>
              <w:rPr>
                <w:b/>
                <w:color w:val="FFFFFF"/>
                <w:sz w:val="16"/>
              </w:rPr>
              <w:t>Alan</w:t>
            </w:r>
          </w:p>
        </w:tc>
        <w:tc>
          <w:tcPr>
            <w:tcW w:type="dxa" w:w="5184"/>
            <w:shd w:fill="1F4E79"/>
          </w:tcPr>
          <w:p>
            <w:pPr>
              <w:jc w:val="center"/>
            </w:pPr>
            <w:r>
              <w:rPr>
                <w:b/>
                <w:color w:val="FFFFFF"/>
                <w:sz w:val="16"/>
              </w:rPr>
              <w:t>Değer</w:t>
            </w:r>
          </w:p>
        </w:tc>
      </w:tr>
      <w:tr>
        <w:tc>
          <w:tcPr>
            <w:tcW w:type="dxa" w:w="5184"/>
          </w:tcPr>
          <w:p>
            <w:pPr>
              <w:jc w:val="center"/>
            </w:pPr>
            <w:r>
              <w:rPr>
                <w:sz w:val="16"/>
              </w:rPr>
              <w:t>Veri adayı</w:t>
            </w:r>
          </w:p>
        </w:tc>
        <w:tc>
          <w:tcPr>
            <w:tcW w:type="dxa" w:w="5184"/>
          </w:tcPr>
          <w:p>
            <w:pPr>
              <w:jc w:val="center"/>
            </w:pPr>
            <w:r>
              <w:rPr>
                <w:sz w:val="16"/>
              </w:rPr>
              <w:t>1000/1000 sınıf dengesi; sentetik yakınlaştırma düzeyi 0,60; adaptif gürültü profili</w:t>
            </w:r>
          </w:p>
        </w:tc>
      </w:tr>
      <w:tr>
        <w:tc>
          <w:tcPr>
            <w:tcW w:type="dxa" w:w="5184"/>
          </w:tcPr>
          <w:p>
            <w:pPr>
              <w:jc w:val="center"/>
            </w:pPr>
            <w:r>
              <w:rPr>
                <w:sz w:val="16"/>
              </w:rPr>
              <w:t>Model</w:t>
            </w:r>
          </w:p>
        </w:tc>
        <w:tc>
          <w:tcPr>
            <w:tcW w:type="dxa" w:w="5184"/>
          </w:tcPr>
          <w:p>
            <w:pPr>
              <w:jc w:val="center"/>
            </w:pPr>
            <w:r>
              <w:rPr>
                <w:sz w:val="16"/>
              </w:rPr>
              <w:t>ExtraTrees</w:t>
            </w:r>
          </w:p>
        </w:tc>
      </w:tr>
      <w:tr>
        <w:tc>
          <w:tcPr>
            <w:tcW w:type="dxa" w:w="5184"/>
          </w:tcPr>
          <w:p>
            <w:pPr>
              <w:jc w:val="center"/>
            </w:pPr>
            <w:r>
              <w:rPr>
                <w:sz w:val="16"/>
              </w:rPr>
              <w:t>Değişken seti</w:t>
            </w:r>
          </w:p>
        </w:tc>
        <w:tc>
          <w:tcPr>
            <w:tcW w:type="dxa" w:w="5184"/>
          </w:tcPr>
          <w:p>
            <w:pPr>
              <w:jc w:val="center"/>
            </w:pPr>
            <w:r>
              <w:rPr>
                <w:sz w:val="16"/>
              </w:rPr>
              <w:t>Tüm orijinal PIMA değişkenleri</w:t>
            </w:r>
          </w:p>
        </w:tc>
      </w:tr>
      <w:tr>
        <w:tc>
          <w:tcPr>
            <w:tcW w:type="dxa" w:w="5184"/>
          </w:tcPr>
          <w:p>
            <w:pPr>
              <w:jc w:val="center"/>
            </w:pPr>
            <w:r>
              <w:rPr>
                <w:sz w:val="16"/>
              </w:rPr>
              <w:t>Karar eşiği</w:t>
            </w:r>
          </w:p>
        </w:tc>
        <w:tc>
          <w:tcPr>
            <w:tcW w:type="dxa" w:w="5184"/>
          </w:tcPr>
          <w:p>
            <w:pPr>
              <w:jc w:val="center"/>
            </w:pPr>
            <w:r>
              <w:rPr>
                <w:sz w:val="16"/>
              </w:rPr>
              <w:t>0.51</w:t>
            </w:r>
          </w:p>
        </w:tc>
      </w:tr>
      <w:tr>
        <w:tc>
          <w:tcPr>
            <w:tcW w:type="dxa" w:w="5184"/>
          </w:tcPr>
          <w:p>
            <w:pPr>
              <w:jc w:val="center"/>
            </w:pPr>
            <w:r>
              <w:rPr>
                <w:sz w:val="16"/>
              </w:rPr>
              <w:t>Holdout doğruluk</w:t>
            </w:r>
          </w:p>
        </w:tc>
        <w:tc>
          <w:tcPr>
            <w:tcW w:type="dxa" w:w="5184"/>
          </w:tcPr>
          <w:p>
            <w:pPr>
              <w:jc w:val="center"/>
            </w:pPr>
            <w:r>
              <w:rPr>
                <w:sz w:val="16"/>
              </w:rPr>
              <w:t>%94.16</w:t>
            </w:r>
          </w:p>
        </w:tc>
      </w:tr>
      <w:tr>
        <w:tc>
          <w:tcPr>
            <w:tcW w:type="dxa" w:w="5184"/>
          </w:tcPr>
          <w:p>
            <w:pPr>
              <w:jc w:val="center"/>
            </w:pPr>
            <w:r>
              <w:rPr>
                <w:sz w:val="16"/>
              </w:rPr>
              <w:t>Holdout minimum ana metrik</w:t>
            </w:r>
          </w:p>
        </w:tc>
        <w:tc>
          <w:tcPr>
            <w:tcW w:type="dxa" w:w="5184"/>
          </w:tcPr>
          <w:p>
            <w:pPr>
              <w:jc w:val="center"/>
            </w:pPr>
            <w:r>
              <w:rPr>
                <w:sz w:val="16"/>
              </w:rPr>
              <w:t>%92.49</w:t>
            </w:r>
          </w:p>
        </w:tc>
      </w:tr>
      <w:tr>
        <w:tc>
          <w:tcPr>
            <w:tcW w:type="dxa" w:w="5184"/>
          </w:tcPr>
          <w:p>
            <w:pPr>
              <w:jc w:val="center"/>
            </w:pPr>
            <w:r>
              <w:rPr>
                <w:sz w:val="16"/>
              </w:rPr>
              <w:t>Grup çapraz doğrulama minimum ana metrik</w:t>
            </w:r>
          </w:p>
        </w:tc>
        <w:tc>
          <w:tcPr>
            <w:tcW w:type="dxa" w:w="5184"/>
          </w:tcPr>
          <w:p>
            <w:pPr>
              <w:jc w:val="center"/>
            </w:pPr>
            <w:r>
              <w:rPr>
                <w:sz w:val="16"/>
              </w:rPr>
              <w:t>%91.31 ± 0.008</w:t>
            </w:r>
          </w:p>
        </w:tc>
      </w:tr>
      <w:tr>
        <w:tc>
          <w:tcPr>
            <w:tcW w:type="dxa" w:w="5184"/>
          </w:tcPr>
          <w:p>
            <w:pPr>
              <w:jc w:val="center"/>
            </w:pPr>
            <w:r>
              <w:rPr>
                <w:sz w:val="16"/>
              </w:rPr>
              <w:t>Cohen's d</w:t>
            </w:r>
          </w:p>
        </w:tc>
        <w:tc>
          <w:tcPr>
            <w:tcW w:type="dxa" w:w="5184"/>
          </w:tcPr>
          <w:p>
            <w:pPr>
              <w:jc w:val="center"/>
            </w:pPr>
            <w:r>
              <w:rPr>
                <w:sz w:val="16"/>
              </w:rPr>
              <w:t>1.382</w:t>
            </w:r>
          </w:p>
        </w:tc>
      </w:tr>
      <w:tr>
        <w:tc>
          <w:tcPr>
            <w:tcW w:type="dxa" w:w="5184"/>
          </w:tcPr>
          <w:p>
            <w:pPr>
              <w:jc w:val="center"/>
            </w:pPr>
            <w:r>
              <w:rPr>
                <w:sz w:val="16"/>
              </w:rPr>
              <w:t>Dağılım kayması</w:t>
            </w:r>
          </w:p>
        </w:tc>
        <w:tc>
          <w:tcPr>
            <w:tcW w:type="dxa" w:w="5184"/>
          </w:tcPr>
          <w:p>
            <w:pPr>
              <w:jc w:val="center"/>
            </w:pPr>
            <w:r>
              <w:rPr>
                <w:sz w:val="16"/>
              </w:rPr>
              <w:t>0.112</w:t>
            </w:r>
          </w:p>
        </w:tc>
      </w:tr>
    </w:tbl>
    <w:p/>
    <w:p>
      <w:pPr>
        <w:jc w:val="center"/>
      </w:pPr>
      <w:r>
        <w:drawing>
          <wp:inline xmlns:a="http://schemas.openxmlformats.org/drawingml/2006/main" xmlns:pic="http://schemas.openxmlformats.org/drawingml/2006/picture">
            <wp:extent cx="4206240" cy="3605349"/>
            <wp:docPr id="8" name="Picture 8"/>
            <wp:cNvGraphicFramePr>
              <a:graphicFrameLocks noChangeAspect="1"/>
            </wp:cNvGraphicFramePr>
            <a:graphic>
              <a:graphicData uri="http://schemas.openxmlformats.org/drawingml/2006/picture">
                <pic:pic>
                  <pic:nvPicPr>
                    <pic:cNvPr id="0" name="small_scale_final_confusion_matrix.png"/>
                    <pic:cNvPicPr/>
                  </pic:nvPicPr>
                  <pic:blipFill>
                    <a:blip r:embed="rId16"/>
                    <a:stretch>
                      <a:fillRect/>
                    </a:stretch>
                  </pic:blipFill>
                  <pic:spPr>
                    <a:xfrm>
                      <a:off x="0" y="0"/>
                      <a:ext cx="4206240" cy="3605349"/>
                    </a:xfrm>
                    <a:prstGeom prst="rect"/>
                  </pic:spPr>
                </pic:pic>
              </a:graphicData>
            </a:graphic>
          </wp:inline>
        </w:drawing>
      </w:r>
    </w:p>
    <w:p>
      <w:pPr>
        <w:jc w:val="center"/>
      </w:pPr>
      <w:r>
        <w:rPr>
          <w:i/>
          <w:sz w:val="16"/>
        </w:rPr>
        <w:t>Karmaşıklık matrisi, seçilen adayın holdout tarafındaki hata dağılımını göstermektedir.</w:t>
      </w:r>
    </w:p>
    <w:p>
      <w:pPr>
        <w:jc w:val="center"/>
      </w:pPr>
      <w:r>
        <w:drawing>
          <wp:inline xmlns:a="http://schemas.openxmlformats.org/drawingml/2006/main" xmlns:pic="http://schemas.openxmlformats.org/drawingml/2006/picture">
            <wp:extent cx="5394960" cy="2847340"/>
            <wp:docPr id="9" name="Picture 9"/>
            <wp:cNvGraphicFramePr>
              <a:graphicFrameLocks noChangeAspect="1"/>
            </wp:cNvGraphicFramePr>
            <a:graphic>
              <a:graphicData uri="http://schemas.openxmlformats.org/drawingml/2006/picture">
                <pic:pic>
                  <pic:nvPicPr>
                    <pic:cNvPr id="0" name="small_scale_final_feature_signal.png"/>
                    <pic:cNvPicPr/>
                  </pic:nvPicPr>
                  <pic:blipFill>
                    <a:blip r:embed="rId17"/>
                    <a:stretch>
                      <a:fillRect/>
                    </a:stretch>
                  </pic:blipFill>
                  <pic:spPr>
                    <a:xfrm>
                      <a:off x="0" y="0"/>
                      <a:ext cx="5394960" cy="2847340"/>
                    </a:xfrm>
                    <a:prstGeom prst="rect"/>
                  </pic:spPr>
                </pic:pic>
              </a:graphicData>
            </a:graphic>
          </wp:inline>
        </w:drawing>
      </w:r>
    </w:p>
    <w:p>
      <w:pPr>
        <w:jc w:val="center"/>
      </w:pPr>
      <w:r>
        <w:rPr>
          <w:i/>
          <w:sz w:val="16"/>
        </w:rPr>
        <w:t>Değişken ayrıştırma gücü grafiği, seçilen adayda hangi değişkenlerin sınıfları daha fazla ayırdığını gösterir.</w:t>
      </w:r>
    </w:p>
    <w:p>
      <w:r>
        <w:br w:type="page"/>
      </w:r>
    </w:p>
    <w:p>
      <w:pPr>
        <w:pStyle w:val="Heading1"/>
      </w:pPr>
      <w:r>
        <w:t>Literatürle Protokol Karşılaştırması</w:t>
      </w:r>
    </w:p>
    <w:p>
      <w:pPr>
        <w:spacing w:line="259" w:lineRule="auto" w:after="0"/>
      </w:pPr>
      <w:r>
        <w:t>PIMA ve diyabet sınıflandırma literatüründe SMOTE, ADASYN, SMOTE-ENN, SMOTE-Tomek, CTGAN, ensemble ve feature selection tabanlı yüksek skorlar raporlanmaktadır. Ancak yüksek skorların doğrudan karşılaştırılabilmesi için preprocessing, sentetik üretim, resampling ve validation adımlarının hangi sırayla uygulandığı açık olmalıdır.</w:t>
      </w:r>
    </w:p>
    <w:tbl>
      <w:tblPr>
        <w:tblStyle w:val="TableGrid"/>
        <w:tblW w:type="auto" w:w="0"/>
        <w:tblLook w:firstColumn="1" w:firstRow="1" w:lastColumn="0" w:lastRow="0" w:noHBand="0" w:noVBand="1" w:val="04A0"/>
      </w:tblPr>
      <w:tblGrid>
        <w:gridCol w:w="3456"/>
        <w:gridCol w:w="3456"/>
        <w:gridCol w:w="3456"/>
      </w:tblGrid>
      <w:tr>
        <w:tc>
          <w:tcPr>
            <w:tcW w:type="dxa" w:w="3456"/>
            <w:shd w:fill="1F4E79"/>
          </w:tcPr>
          <w:p>
            <w:pPr>
              <w:jc w:val="center"/>
            </w:pPr>
            <w:r>
              <w:rPr>
                <w:b/>
                <w:color w:val="FFFFFF"/>
                <w:sz w:val="14"/>
              </w:rPr>
              <w:t>Karşılaştırma Ekseni</w:t>
            </w:r>
          </w:p>
        </w:tc>
        <w:tc>
          <w:tcPr>
            <w:tcW w:type="dxa" w:w="3456"/>
            <w:shd w:fill="1F4E79"/>
          </w:tcPr>
          <w:p>
            <w:pPr>
              <w:jc w:val="center"/>
            </w:pPr>
            <w:r>
              <w:rPr>
                <w:b/>
                <w:color w:val="FFFFFF"/>
                <w:sz w:val="14"/>
              </w:rPr>
              <w:t>Literatürde Sık Görülen Yaklaşım</w:t>
            </w:r>
          </w:p>
        </w:tc>
        <w:tc>
          <w:tcPr>
            <w:tcW w:type="dxa" w:w="3456"/>
            <w:shd w:fill="1F4E79"/>
          </w:tcPr>
          <w:p>
            <w:pPr>
              <w:jc w:val="center"/>
            </w:pPr>
            <w:r>
              <w:rPr>
                <w:b/>
                <w:color w:val="FFFFFF"/>
                <w:sz w:val="14"/>
              </w:rPr>
              <w:t>Bu Çalışmadaki Yaklaşım</w:t>
            </w:r>
          </w:p>
        </w:tc>
      </w:tr>
      <w:tr>
        <w:tc>
          <w:tcPr>
            <w:tcW w:type="dxa" w:w="3456"/>
          </w:tcPr>
          <w:p>
            <w:pPr>
              <w:jc w:val="center"/>
            </w:pPr>
            <w:r>
              <w:rPr>
                <w:sz w:val="14"/>
              </w:rPr>
              <w:t>Veri artırma</w:t>
            </w:r>
          </w:p>
        </w:tc>
        <w:tc>
          <w:tcPr>
            <w:tcW w:type="dxa" w:w="3456"/>
          </w:tcPr>
          <w:p>
            <w:pPr>
              <w:jc w:val="center"/>
            </w:pPr>
            <w:r>
              <w:rPr>
                <w:sz w:val="14"/>
              </w:rPr>
              <w:t>SMOTE, ADASYN, CTGAN, SMOTE-ENN</w:t>
            </w:r>
          </w:p>
        </w:tc>
        <w:tc>
          <w:tcPr>
            <w:tcW w:type="dxa" w:w="3456"/>
          </w:tcPr>
          <w:p>
            <w:pPr>
              <w:jc w:val="center"/>
            </w:pPr>
            <w:r>
              <w:rPr>
                <w:sz w:val="14"/>
              </w:rPr>
              <w:t>Kaynak aile kontrollü sentetik benchmark</w:t>
            </w:r>
          </w:p>
        </w:tc>
      </w:tr>
      <w:tr>
        <w:tc>
          <w:tcPr>
            <w:tcW w:type="dxa" w:w="3456"/>
          </w:tcPr>
          <w:p>
            <w:pPr>
              <w:jc w:val="center"/>
            </w:pPr>
            <w:r>
              <w:rPr>
                <w:sz w:val="14"/>
              </w:rPr>
              <w:t>Veri bölme</w:t>
            </w:r>
          </w:p>
        </w:tc>
        <w:tc>
          <w:tcPr>
            <w:tcW w:type="dxa" w:w="3456"/>
          </w:tcPr>
          <w:p>
            <w:pPr>
              <w:jc w:val="center"/>
            </w:pPr>
            <w:r>
              <w:rPr>
                <w:sz w:val="14"/>
              </w:rPr>
              <w:t>Çalışmadan çalışmaya değişken</w:t>
            </w:r>
          </w:p>
        </w:tc>
        <w:tc>
          <w:tcPr>
            <w:tcW w:type="dxa" w:w="3456"/>
          </w:tcPr>
          <w:p>
            <w:pPr>
              <w:jc w:val="center"/>
            </w:pPr>
            <w:r>
              <w:rPr>
                <w:sz w:val="14"/>
              </w:rPr>
              <w:t>Dış kontrol verisi sentetik üretimden önce ayrıldı</w:t>
            </w:r>
          </w:p>
        </w:tc>
      </w:tr>
      <w:tr>
        <w:tc>
          <w:tcPr>
            <w:tcW w:type="dxa" w:w="3456"/>
          </w:tcPr>
          <w:p>
            <w:pPr>
              <w:jc w:val="center"/>
            </w:pPr>
            <w:r>
              <w:rPr>
                <w:sz w:val="14"/>
              </w:rPr>
              <w:t>Kaynak aile takibi</w:t>
            </w:r>
          </w:p>
        </w:tc>
        <w:tc>
          <w:tcPr>
            <w:tcW w:type="dxa" w:w="3456"/>
          </w:tcPr>
          <w:p>
            <w:pPr>
              <w:jc w:val="center"/>
            </w:pPr>
            <w:r>
              <w:rPr>
                <w:sz w:val="14"/>
              </w:rPr>
              <w:t>Genellikle raporlanmaz</w:t>
            </w:r>
          </w:p>
        </w:tc>
        <w:tc>
          <w:tcPr>
            <w:tcW w:type="dxa" w:w="3456"/>
          </w:tcPr>
          <w:p>
            <w:pPr>
              <w:jc w:val="center"/>
            </w:pPr>
            <w:r>
              <w:rPr>
                <w:sz w:val="14"/>
              </w:rPr>
              <w:t>Her sentetik örnek kaynak aile kimliği taşıdı</w:t>
            </w:r>
          </w:p>
        </w:tc>
      </w:tr>
      <w:tr>
        <w:tc>
          <w:tcPr>
            <w:tcW w:type="dxa" w:w="3456"/>
          </w:tcPr>
          <w:p>
            <w:pPr>
              <w:jc w:val="center"/>
            </w:pPr>
            <w:r>
              <w:rPr>
                <w:sz w:val="14"/>
              </w:rPr>
              <w:t>Sızıntı kontrolü</w:t>
            </w:r>
          </w:p>
        </w:tc>
        <w:tc>
          <w:tcPr>
            <w:tcW w:type="dxa" w:w="3456"/>
          </w:tcPr>
          <w:p>
            <w:pPr>
              <w:jc w:val="center"/>
            </w:pPr>
            <w:r>
              <w:rPr>
                <w:sz w:val="14"/>
              </w:rPr>
              <w:t>Her çalışmada aynı detayda değil</w:t>
            </w:r>
          </w:p>
        </w:tc>
        <w:tc>
          <w:tcPr>
            <w:tcW w:type="dxa" w:w="3456"/>
          </w:tcPr>
          <w:p>
            <w:pPr>
              <w:jc w:val="center"/>
            </w:pPr>
            <w:r>
              <w:rPr>
                <w:sz w:val="14"/>
              </w:rPr>
              <w:t>Kaynak aile, birebir kopya, yakın benzerlik ve dış kontrol çakışması kontrol edildi</w:t>
            </w:r>
          </w:p>
        </w:tc>
      </w:tr>
      <w:tr>
        <w:tc>
          <w:tcPr>
            <w:tcW w:type="dxa" w:w="3456"/>
          </w:tcPr>
          <w:p>
            <w:pPr>
              <w:jc w:val="center"/>
            </w:pPr>
            <w:r>
              <w:rPr>
                <w:sz w:val="14"/>
              </w:rPr>
              <w:t>Çapraz doğrulama</w:t>
            </w:r>
          </w:p>
        </w:tc>
        <w:tc>
          <w:tcPr>
            <w:tcW w:type="dxa" w:w="3456"/>
          </w:tcPr>
          <w:p>
            <w:pPr>
              <w:jc w:val="center"/>
            </w:pPr>
            <w:r>
              <w:rPr>
                <w:sz w:val="14"/>
              </w:rPr>
              <w:t>k-fold / stratified k-fold</w:t>
            </w:r>
          </w:p>
        </w:tc>
        <w:tc>
          <w:tcPr>
            <w:tcW w:type="dxa" w:w="3456"/>
          </w:tcPr>
          <w:p>
            <w:pPr>
              <w:jc w:val="center"/>
            </w:pPr>
            <w:r>
              <w:rPr>
                <w:sz w:val="14"/>
              </w:rPr>
              <w:t>Kaynak aileleri birlikte tutan StratifiedGroupKFold kullanıldı</w:t>
            </w:r>
          </w:p>
        </w:tc>
      </w:tr>
      <w:tr>
        <w:tc>
          <w:tcPr>
            <w:tcW w:type="dxa" w:w="3456"/>
          </w:tcPr>
          <w:p>
            <w:pPr>
              <w:jc w:val="center"/>
            </w:pPr>
            <w:r>
              <w:rPr>
                <w:sz w:val="14"/>
              </w:rPr>
              <w:t>Sonuç yorumu</w:t>
            </w:r>
          </w:p>
        </w:tc>
        <w:tc>
          <w:tcPr>
            <w:tcW w:type="dxa" w:w="3456"/>
          </w:tcPr>
          <w:p>
            <w:pPr>
              <w:jc w:val="center"/>
            </w:pPr>
            <w:r>
              <w:rPr>
                <w:sz w:val="14"/>
              </w:rPr>
              <w:t>Genel başarı gibi sunulabilir</w:t>
            </w:r>
          </w:p>
        </w:tc>
        <w:tc>
          <w:tcPr>
            <w:tcW w:type="dxa" w:w="3456"/>
          </w:tcPr>
          <w:p>
            <w:pPr>
              <w:jc w:val="center"/>
            </w:pPr>
            <w:r>
              <w:rPr>
                <w:sz w:val="14"/>
              </w:rPr>
              <w:t>Sentetik benchmark ve dış kontrol sonucu ayrı yorumlandı</w:t>
            </w:r>
          </w:p>
        </w:tc>
      </w:tr>
    </w:tbl>
    <w:p/>
    <w:p>
      <w:pPr>
        <w:spacing w:line="259" w:lineRule="auto" w:after="0"/>
      </w:pPr>
      <w:r>
        <w:t>SMOTE azınlık sınıfını komşular arasında sentetik örneklerle artırır. ADASYN öğrenmesi zor azınlık örneklerine daha fazla ağırlık verir. SMOTE-ENN ve SMOTE-Tomek çoğaltma sonrası gürültü veya sınır çakışması temizliği uygular. CTGAN tabular veri dağılımını öğrenerek sentetik kayıt üretir. Bu çalışmada ana final benchmark için kaynak aile takibi korunmuştur.</w:t>
      </w:r>
    </w:p>
    <w:tbl>
      <w:tblPr>
        <w:tblStyle w:val="TableGrid"/>
        <w:tblW w:type="auto" w:w="0"/>
        <w:tblLook w:firstColumn="1" w:firstRow="1" w:lastColumn="0" w:lastRow="0" w:noHBand="0" w:noVBand="1" w:val="04A0"/>
      </w:tblPr>
      <w:tblGrid>
        <w:gridCol w:w="5184"/>
        <w:gridCol w:w="5184"/>
      </w:tblGrid>
      <w:tr>
        <w:tc>
          <w:tcPr>
            <w:tcW w:type="dxa" w:w="5184"/>
            <w:shd w:fill="1F4E79"/>
          </w:tcPr>
          <w:p>
            <w:pPr>
              <w:jc w:val="center"/>
            </w:pPr>
            <w:r>
              <w:rPr>
                <w:b/>
                <w:color w:val="FFFFFF"/>
                <w:sz w:val="16"/>
              </w:rPr>
              <w:t>Dış kontrol metriği</w:t>
            </w:r>
          </w:p>
        </w:tc>
        <w:tc>
          <w:tcPr>
            <w:tcW w:type="dxa" w:w="5184"/>
            <w:shd w:fill="1F4E79"/>
          </w:tcPr>
          <w:p>
            <w:pPr>
              <w:jc w:val="center"/>
            </w:pPr>
            <w:r>
              <w:rPr>
                <w:b/>
                <w:color w:val="FFFFFF"/>
                <w:sz w:val="16"/>
              </w:rPr>
              <w:t>Değer</w:t>
            </w:r>
          </w:p>
        </w:tc>
      </w:tr>
      <w:tr>
        <w:tc>
          <w:tcPr>
            <w:tcW w:type="dxa" w:w="5184"/>
          </w:tcPr>
          <w:p>
            <w:pPr>
              <w:jc w:val="center"/>
            </w:pPr>
            <w:r>
              <w:rPr>
                <w:sz w:val="16"/>
              </w:rPr>
              <w:t>Doğruluk</w:t>
            </w:r>
          </w:p>
        </w:tc>
        <w:tc>
          <w:tcPr>
            <w:tcW w:type="dxa" w:w="5184"/>
          </w:tcPr>
          <w:p>
            <w:pPr>
              <w:jc w:val="center"/>
            </w:pPr>
            <w:r>
              <w:rPr>
                <w:sz w:val="16"/>
              </w:rPr>
              <w:t>%74.03</w:t>
            </w:r>
          </w:p>
        </w:tc>
      </w:tr>
      <w:tr>
        <w:tc>
          <w:tcPr>
            <w:tcW w:type="dxa" w:w="5184"/>
          </w:tcPr>
          <w:p>
            <w:pPr>
              <w:jc w:val="center"/>
            </w:pPr>
            <w:r>
              <w:rPr>
                <w:sz w:val="16"/>
              </w:rPr>
              <w:t>F1</w:t>
            </w:r>
          </w:p>
        </w:tc>
        <w:tc>
          <w:tcPr>
            <w:tcW w:type="dxa" w:w="5184"/>
          </w:tcPr>
          <w:p>
            <w:pPr>
              <w:jc w:val="center"/>
            </w:pPr>
            <w:r>
              <w:rPr>
                <w:sz w:val="16"/>
              </w:rPr>
              <w:t>%62.26</w:t>
            </w:r>
          </w:p>
        </w:tc>
      </w:tr>
      <w:tr>
        <w:tc>
          <w:tcPr>
            <w:tcW w:type="dxa" w:w="5184"/>
          </w:tcPr>
          <w:p>
            <w:pPr>
              <w:jc w:val="center"/>
            </w:pPr>
            <w:r>
              <w:rPr>
                <w:sz w:val="16"/>
              </w:rPr>
              <w:t>ROC-AUC</w:t>
            </w:r>
          </w:p>
        </w:tc>
        <w:tc>
          <w:tcPr>
            <w:tcW w:type="dxa" w:w="5184"/>
          </w:tcPr>
          <w:p>
            <w:pPr>
              <w:jc w:val="center"/>
            </w:pPr>
            <w:r>
              <w:rPr>
                <w:sz w:val="16"/>
              </w:rPr>
              <w:t>%81.81</w:t>
            </w:r>
          </w:p>
        </w:tc>
      </w:tr>
      <w:tr>
        <w:tc>
          <w:tcPr>
            <w:tcW w:type="dxa" w:w="5184"/>
          </w:tcPr>
          <w:p>
            <w:pPr>
              <w:jc w:val="center"/>
            </w:pPr>
            <w:r>
              <w:rPr>
                <w:sz w:val="16"/>
              </w:rPr>
              <w:t>Min ana metrik</w:t>
            </w:r>
          </w:p>
        </w:tc>
        <w:tc>
          <w:tcPr>
            <w:tcW w:type="dxa" w:w="5184"/>
          </w:tcPr>
          <w:p>
            <w:pPr>
              <w:jc w:val="center"/>
            </w:pPr>
            <w:r>
              <w:rPr>
                <w:sz w:val="16"/>
              </w:rPr>
              <w:t>%61.11</w:t>
            </w:r>
          </w:p>
        </w:tc>
      </w:tr>
      <w:tr>
        <w:tc>
          <w:tcPr>
            <w:tcW w:type="dxa" w:w="5184"/>
          </w:tcPr>
          <w:p>
            <w:pPr>
              <w:jc w:val="center"/>
            </w:pPr>
            <w:r>
              <w:rPr>
                <w:sz w:val="16"/>
              </w:rPr>
              <w:t>Brier</w:t>
            </w:r>
          </w:p>
        </w:tc>
        <w:tc>
          <w:tcPr>
            <w:tcW w:type="dxa" w:w="5184"/>
          </w:tcPr>
          <w:p>
            <w:pPr>
              <w:jc w:val="center"/>
            </w:pPr>
            <w:r>
              <w:rPr>
                <w:sz w:val="16"/>
              </w:rPr>
              <w:t>0.169</w:t>
            </w:r>
          </w:p>
        </w:tc>
      </w:tr>
    </w:tbl>
    <w:p/>
    <w:p>
      <w:pPr>
        <w:spacing w:line="259" w:lineRule="auto" w:after="0"/>
      </w:pPr>
      <w:r>
        <w:t>Doğrulama protokolü ve veri sızıntısı kontrol seviyesi çalışmadan çalışmaya değiştiği için skorlar doğrudan birebir kıyaslanmamalıdır. Bu rapordaki yüksek metrikler kontrollü sentetik benchmark bağlamında değerlendirilmelidir.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