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500/500 Muhafazakar Sentetik Benchmark Deneyi</w:t>
      </w:r>
    </w:p>
    <w:p>
      <w:r>
        <w:t>Bu raporda 500/500 adayının mevcut skorlarını koruyarak Cohen's d ve dağılım kaymasını azaltabilecek distribution-matched üretim varyantları denenmiştir. Amaç 1000/1000 skorlarını kovalamak değil, 500/500 seviyesinde daha doğal ve savunulabilir bir aday bulmaktır.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Ölçüt</w:t>
            </w:r>
          </w:p>
        </w:tc>
        <w:tc>
          <w:tcPr>
            <w:tcW w:type="dxa" w:w="5184"/>
          </w:tcPr>
          <w:p>
            <w:r>
              <w:t>Mevcut 500/500 eşiği</w:t>
            </w:r>
          </w:p>
        </w:tc>
      </w:tr>
      <w:tr>
        <w:tc>
          <w:tcPr>
            <w:tcW w:type="dxa" w:w="5184"/>
          </w:tcPr>
          <w:p>
            <w:r>
              <w:t>Accuracy</w:t>
            </w:r>
          </w:p>
        </w:tc>
        <w:tc>
          <w:tcPr>
            <w:tcW w:type="dxa" w:w="5184"/>
          </w:tcPr>
          <w:p>
            <w:r>
              <w:t>%92.00</w:t>
            </w:r>
          </w:p>
        </w:tc>
      </w:tr>
      <w:tr>
        <w:tc>
          <w:tcPr>
            <w:tcW w:type="dxa" w:w="5184"/>
          </w:tcPr>
          <w:p>
            <w:r>
              <w:t>Min ana metrik</w:t>
            </w:r>
          </w:p>
        </w:tc>
        <w:tc>
          <w:tcPr>
            <w:tcW w:type="dxa" w:w="5184"/>
          </w:tcPr>
          <w:p>
            <w:r>
              <w:t>%91.00</w:t>
            </w:r>
          </w:p>
        </w:tc>
      </w:tr>
      <w:tr>
        <w:tc>
          <w:tcPr>
            <w:tcW w:type="dxa" w:w="5184"/>
          </w:tcPr>
          <w:p>
            <w:r>
              <w:t>Group CV min ana</w:t>
            </w:r>
          </w:p>
        </w:tc>
        <w:tc>
          <w:tcPr>
            <w:tcW w:type="dxa" w:w="5184"/>
          </w:tcPr>
          <w:p>
            <w:r>
              <w:t>%85.60</w:t>
            </w:r>
          </w:p>
        </w:tc>
      </w:tr>
      <w:tr>
        <w:tc>
          <w:tcPr>
            <w:tcW w:type="dxa" w:w="5184"/>
          </w:tcPr>
          <w:p>
            <w:r>
              <w:t>Rapor Cohen's d</w:t>
            </w:r>
          </w:p>
        </w:tc>
        <w:tc>
          <w:tcPr>
            <w:tcW w:type="dxa" w:w="5184"/>
          </w:tcPr>
          <w:p>
            <w:r>
              <w:t>0.704</w:t>
            </w:r>
          </w:p>
        </w:tc>
      </w:tr>
      <w:tr>
        <w:tc>
          <w:tcPr>
            <w:tcW w:type="dxa" w:w="5184"/>
          </w:tcPr>
          <w:p>
            <w:r>
              <w:t>Rapor shift</w:t>
            </w:r>
          </w:p>
        </w:tc>
        <w:tc>
          <w:tcPr>
            <w:tcW w:type="dxa" w:w="5184"/>
          </w:tcPr>
          <w:p>
            <w:r>
              <w:t>0.105</w:t>
            </w:r>
          </w:p>
        </w:tc>
      </w:tr>
    </w:tbl>
    <w:p/>
    <w:p>
      <w:pPr>
        <w:pStyle w:val="Heading2"/>
      </w:pPr>
      <w:r>
        <w:t>Seçilen En İyi Aday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Alan</w:t>
            </w:r>
          </w:p>
        </w:tc>
        <w:tc>
          <w:tcPr>
            <w:tcW w:type="dxa" w:w="5184"/>
          </w:tcPr>
          <w:p>
            <w:r>
              <w:t>Değer</w:t>
            </w:r>
          </w:p>
        </w:tc>
      </w:tr>
      <w:tr>
        <w:tc>
          <w:tcPr>
            <w:tcW w:type="dxa" w:w="5184"/>
          </w:tcPr>
          <w:p>
            <w:r>
              <w:t>Dataset</w:t>
            </w:r>
          </w:p>
        </w:tc>
        <w:tc>
          <w:tcPr>
            <w:tcW w:type="dxa" w:w="5184"/>
          </w:tcPr>
          <w:p>
            <w:r>
              <w:t>cons500_s0p16_very_low_p0p25_m0p2_b0p0_r28</w:t>
            </w:r>
          </w:p>
        </w:tc>
      </w:tr>
      <w:tr>
        <w:tc>
          <w:tcPr>
            <w:tcW w:type="dxa" w:w="5184"/>
          </w:tcPr>
          <w:p>
            <w:r>
              <w:t>Model</w:t>
            </w:r>
          </w:p>
        </w:tc>
        <w:tc>
          <w:tcPr>
            <w:tcW w:type="dxa" w:w="5184"/>
          </w:tcPr>
          <w:p>
            <w:r>
              <w:t>ExtraTrees</w:t>
            </w:r>
          </w:p>
        </w:tc>
      </w:tr>
      <w:tr>
        <w:tc>
          <w:tcPr>
            <w:tcW w:type="dxa" w:w="5184"/>
          </w:tcPr>
          <w:p>
            <w:r>
              <w:t>Feature set</w:t>
            </w:r>
          </w:p>
        </w:tc>
        <w:tc>
          <w:tcPr>
            <w:tcW w:type="dxa" w:w="5184"/>
          </w:tcPr>
          <w:p>
            <w:r>
              <w:t>SkinThickness çıkarılmış</w:t>
            </w:r>
          </w:p>
        </w:tc>
      </w:tr>
      <w:tr>
        <w:tc>
          <w:tcPr>
            <w:tcW w:type="dxa" w:w="5184"/>
          </w:tcPr>
          <w:p>
            <w:r>
              <w:t>Accuracy</w:t>
            </w:r>
          </w:p>
        </w:tc>
        <w:tc>
          <w:tcPr>
            <w:tcW w:type="dxa" w:w="5184"/>
          </w:tcPr>
          <w:p>
            <w:r>
              <w:t>%89.09</w:t>
            </w:r>
          </w:p>
        </w:tc>
      </w:tr>
      <w:tr>
        <w:tc>
          <w:tcPr>
            <w:tcW w:type="dxa" w:w="5184"/>
          </w:tcPr>
          <w:p>
            <w:r>
              <w:t>Min ana</w:t>
            </w:r>
          </w:p>
        </w:tc>
        <w:tc>
          <w:tcPr>
            <w:tcW w:type="dxa" w:w="5184"/>
          </w:tcPr>
          <w:p>
            <w:r>
              <w:t>%87.27</w:t>
            </w:r>
          </w:p>
        </w:tc>
      </w:tr>
      <w:tr>
        <w:tc>
          <w:tcPr>
            <w:tcW w:type="dxa" w:w="5184"/>
          </w:tcPr>
          <w:p>
            <w:r>
              <w:t>Group CV min ana</w:t>
            </w:r>
          </w:p>
        </w:tc>
        <w:tc>
          <w:tcPr>
            <w:tcW w:type="dxa" w:w="5184"/>
          </w:tcPr>
          <w:p>
            <w:r>
              <w:t>%72.80 ± 0.061</w:t>
            </w:r>
          </w:p>
        </w:tc>
      </w:tr>
      <w:tr>
        <w:tc>
          <w:tcPr>
            <w:tcW w:type="dxa" w:w="5184"/>
          </w:tcPr>
          <w:p>
            <w:r>
              <w:t>Cohen's d</w:t>
            </w:r>
          </w:p>
        </w:tc>
        <w:tc>
          <w:tcPr>
            <w:tcW w:type="dxa" w:w="5184"/>
          </w:tcPr>
          <w:p>
            <w:r>
              <w:t>0.622</w:t>
            </w:r>
          </w:p>
        </w:tc>
      </w:tr>
      <w:tr>
        <w:tc>
          <w:tcPr>
            <w:tcW w:type="dxa" w:w="5184"/>
          </w:tcPr>
          <w:p>
            <w:r>
              <w:t>Shift</w:t>
            </w:r>
          </w:p>
        </w:tc>
        <w:tc>
          <w:tcPr>
            <w:tcW w:type="dxa" w:w="5184"/>
          </w:tcPr>
          <w:p>
            <w:r>
              <w:t>0.078</w:t>
            </w:r>
          </w:p>
        </w:tc>
      </w:tr>
    </w:tbl>
    <w:p/>
    <w:p>
      <w:r>
        <w:t>Sonuç yorumu: Tüm hedefler aynı anda sağlanamadı; bu durum 500/500 seviyesinde skor ile doğallık arasında belirgin bir takas olduğunu gösterir.</w:t>
      </w:r>
    </w:p>
    <w:p>
      <w:r>
        <w:drawing>
          <wp:inline xmlns:a="http://schemas.openxmlformats.org/drawingml/2006/main" xmlns:pic="http://schemas.openxmlformats.org/drawingml/2006/picture">
            <wp:extent cx="5852160" cy="33214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ervative_500_quality_scat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21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633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ervative_500_score_qual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63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4632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ervative_500_final_confu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63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Akademik Yorum</w:t>
      </w:r>
    </w:p>
    <w:p>
      <w:r>
        <w:t>Daha düşük Cohen's d ve shift hedefi, sentetik verinin orijinal PIMA dağılımına daha yakın kalmasını sağlar; ancak sınıf ayrımı azaldığında model performansının düşmesi beklenir. Bu deney, 500/500 adayının mevcut skorlarının ne kadar doğal dağılım korunarak sürdürülebildiğini ölçmek için yapılmıştır.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