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PIMA + Sentetik Benchmark Min-0.90 Final Raporu</w:t>
      </w:r>
    </w:p>
    <w:p>
      <w:pPr>
        <w:spacing w:line="252" w:lineRule="auto" w:after="40"/>
      </w:pPr>
      <w:r>
        <w:t>Bu çalışmada ana hedef, orijinal PIMA veri setinden türetilen ve source_id aile ayrımıyla kontrol edilen sentetik benchmark üzerinde yüksek performans elde etmektir. Original external holdout sonucu ise modelin gerçek PIMA verisi üzerindeki dış kontrol performansını göstermek amacıyla ayrıca raporlanmıştır.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3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Ana hedef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PIMA + sentetik benchmarkta min ana metrik &gt;= 0.90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Orijinal PIMA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768 satır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Original dev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614 satır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External holdout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154 satır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Final aday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min90_sentetik_2500_per_class_pima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Minimum 0.90 hedefi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Yakalandı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orijinal_pima_sinif_dagili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40"/>
      </w:pPr>
      <w:r>
        <w:t>EDA (Exploratory Data Analysis) aşamasında sınıf dengesizliği ve klinik olarak gerçekçi olmayan 0 değerleri dikkate alınmıştır.</w:t>
      </w:r>
    </w:p>
    <w:p>
      <w:pPr>
        <w:spacing w:after="40"/>
      </w:pPr>
      <w:r>
        <w:br w:type="page"/>
      </w:r>
    </w:p>
    <w:p>
      <w:pPr>
        <w:pStyle w:val="Heading1"/>
        <w:spacing w:after="40"/>
      </w:pPr>
      <w:r>
        <w:t>Leakage Kontrolü ve Source ID Aile Yapısı</w:t>
      </w:r>
    </w:p>
    <w:p>
      <w:pPr>
        <w:spacing w:line="252" w:lineRule="auto" w:after="40"/>
      </w:pPr>
      <w:r>
        <w:t>Sentetik veri üretiminde her orijinal PIMA satırı bir kaynak aile olarak kabul edilmiştir. Her orijinal satıra original_{index} formatında bir source_id atanmış, bu satırdan üretilen tüm sentetik örnekler aynı source_id değerini taşımıştır. Böylece aynı kaynak aileden gelen örneklerin hem eğitim hem de test tarafına düşmesi engellenmiştir.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Kontrol</w:t>
            </w:r>
          </w:p>
        </w:tc>
        <w:tc>
          <w:tcPr>
            <w:tcW w:type="dxa" w:w="35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Beklenen</w:t>
            </w:r>
          </w:p>
        </w:tc>
        <w:tc>
          <w:tcPr>
            <w:tcW w:type="dxa" w:w="35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Sonuç</w:t>
            </w:r>
          </w:p>
        </w:tc>
      </w:tr>
      <w:tr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Train/Test source_id kesişimi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CV fold source_id kesişimi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Exact duplicate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Near duplicate oranı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Düşük / 0'a yakın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Minimum mesafe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Raporlanır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0.1672</w:t>
            </w:r>
          </w:p>
        </w:tc>
      </w:tr>
      <w:tr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External holdout izolasyonu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Evet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Evet</w:t>
            </w:r>
          </w:p>
        </w:tc>
      </w:tr>
      <w:tr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Bağımsız synthetic source_id kaldı mı?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Hayır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5"/>
              </w:rPr>
              <w:t>Hayır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Sınıf başı</w:t>
            </w:r>
          </w:p>
        </w:tc>
        <w:tc>
          <w:tcPr>
            <w:tcW w:type="dxa" w:w="213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Orijinal</w:t>
            </w:r>
          </w:p>
        </w:tc>
        <w:tc>
          <w:tcPr>
            <w:tcW w:type="dxa" w:w="213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Sentetik</w:t>
            </w:r>
          </w:p>
        </w:tc>
        <w:tc>
          <w:tcPr>
            <w:tcW w:type="dxa" w:w="213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Toplam</w:t>
            </w:r>
          </w:p>
        </w:tc>
        <w:tc>
          <w:tcPr>
            <w:tcW w:type="dxa" w:w="213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Neg/Poz</w:t>
            </w:r>
          </w:p>
        </w:tc>
      </w:tr>
      <w:tr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2500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4386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5000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2500 / 2500</w:t>
            </w:r>
          </w:p>
        </w:tc>
      </w:tr>
      <w:tr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2700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4786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5400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2700 / 2700</w:t>
            </w:r>
          </w:p>
        </w:tc>
      </w:tr>
      <w:tr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3000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5386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3000 / 3000</w:t>
            </w:r>
          </w:p>
        </w:tc>
      </w:tr>
      <w:tr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4000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7386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8000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4000 / 4000</w:t>
            </w:r>
          </w:p>
        </w:tc>
      </w:tr>
      <w:tr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5000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9386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10000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5000 / 5000</w:t>
            </w:r>
          </w:p>
        </w:tc>
      </w:tr>
      <w:tr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7500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14386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15000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7500 / 7500</w:t>
            </w:r>
          </w:p>
        </w:tc>
      </w:tr>
      <w:tr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10000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19386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20000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4"/>
              </w:rPr>
              <w:t>10000 / 10000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13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aday_veri_boyutla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br w:type="page"/>
      </w:r>
    </w:p>
    <w:p>
      <w:pPr>
        <w:pStyle w:val="Heading1"/>
        <w:spacing w:after="40"/>
      </w:pPr>
      <w:r>
        <w:t>Sentetik Benchmark Karşılaştırması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holdout_ana_metrik_minimum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cv_ana_metrik_minimumu_m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holdout_roc_au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cv_roc_auc_m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br w:type="page"/>
      </w:r>
    </w:p>
    <w:p>
      <w:pPr>
        <w:pStyle w:val="Heading1"/>
        <w:spacing w:after="40"/>
      </w:pPr>
      <w:r>
        <w:t>Final Model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Alan</w:t>
            </w:r>
          </w:p>
        </w:tc>
        <w:tc>
          <w:tcPr>
            <w:tcW w:type="dxa" w:w="53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Değer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Model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soft_voting_xgb_lgbm_et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Feature set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all_features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Preprocessing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tree_models_no_scaler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Resampling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Threshold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0.52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Synthetic Holdout min ana metrik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%96.67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Synthetic Group CV min ana metrik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%96.20 ± 0.007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Selection score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0.9714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448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final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threshold_tuning_etki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9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final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br w:type="page"/>
      </w:r>
    </w:p>
    <w:p>
      <w:pPr>
        <w:pStyle w:val="Heading1"/>
        <w:spacing w:after="40"/>
      </w:pPr>
      <w:r>
        <w:t>Kalibrasyon, External Holdout ve Literatür Notu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final_calibration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091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90_brier_karsilastirm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External holdout metriği</w:t>
            </w:r>
          </w:p>
        </w:tc>
        <w:tc>
          <w:tcPr>
            <w:tcW w:type="dxa" w:w="53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Değer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Accuracy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%73.38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F1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%60.19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ROC-AUC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%81.67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Min ana metrik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%57.41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Brier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5"/>
              </w:rPr>
              <w:t>0.183</w:t>
            </w:r>
          </w:p>
        </w:tc>
      </w:tr>
    </w:tbl>
    <w:p>
      <w:pPr>
        <w:spacing w:after="40"/>
      </w:pPr>
    </w:p>
    <w:p>
      <w:pPr>
        <w:spacing w:line="252" w:lineRule="auto" w:after="40"/>
      </w:pPr>
      <w:r>
        <w:t>PIMA veri setinde ham veriyle yapilan calismalarda performans genellikle sinirli kalirken, SMOTE, SMOTE-ENN, SMOTE-Tomek, CTGAN ve benzeri sentetik/hibrit dengeleme yaklasimlari performansi artirmak icin sik kullanilmaktadir.</w:t>
      </w:r>
    </w:p>
    <w:p>
      <w:pPr>
        <w:spacing w:line="252" w:lineRule="auto" w:after="40"/>
      </w:pPr>
      <w:r>
        <w:t>Resampling ve sentetik uretim test verisini gorecek sekilde uygulanirsa leakage riski olusur. Bu calismada external holdout dis kontrol olarak saklanmistir.</w:t>
      </w:r>
    </w:p>
    <w:p>
      <w:pPr>
        <w:spacing w:line="252" w:lineRule="auto" w:after="40"/>
      </w:pPr>
      <w:r>
        <w:t>Bu sonuçlar sentetik benchmark bağlamında yorumlanmalıdır. Dış veri setleriyle desteklenmeden klinik genellenebilirlik kanıtı olarak sunulmamıştır.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