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PIMA Diyabet Veri Seti İçin Kaynak Aile Kontrollü Sentetik Benchmark Raporu</w:t>
      </w:r>
    </w:p>
    <w:p>
      <w:pPr>
        <w:spacing w:line="259" w:lineRule="auto" w:after="80"/>
      </w:pPr>
      <w:r>
        <w:t>Bu çalışmada ana başarı hedefi, ham PIMA veri setinde doğrudan klinik genellenebilirlik kanıtlamak değil; orijinal PIMA verisinden türetilmiş, kaynak aile kimliği (source_id) ayrımıyla kontrol edilmiş sentetik benchmark üzerinde minimum ana metrik değerini 0.90 üzerinde tutan bir makine öğrenmesi akışı oluşturmaktır.</w:t>
      </w:r>
    </w:p>
    <w:p>
      <w:pPr>
        <w:spacing w:line="259" w:lineRule="auto" w:after="80"/>
      </w:pPr>
      <w:r>
        <w:t>Sentetik benchmark sonuçları ile orijinal dış kontrol verisi sonuçları aynı anlamda yorumlanmamıştır. Sentetik benchmark, kontrollü veri artırımı sonrası modelin ayrıştırma başarısını; orijinal dış kontrol verisi ise gerçek PIMA verisi üzerinde dış kontrol performansını göstermektedir.</w:t>
      </w:r>
    </w:p>
    <w:tbl>
      <w:tblPr>
        <w:tblStyle w:val="TableGrid"/>
        <w:tblW w:type="auto" w:w="0"/>
        <w:tblLook w:firstColumn="1" w:firstRow="1" w:lastColumn="0" w:lastRow="0" w:noHBand="0" w:noVBand="1" w:val="04A0"/>
      </w:tblPr>
      <w:tblGrid>
        <w:gridCol w:w="5017"/>
        <w:gridCol w:w="5017"/>
      </w:tblGrid>
      <w:tr>
        <w:tc>
          <w:tcPr>
            <w:tcW w:type="dxa" w:w="5017"/>
            <w:shd w:fill="1F4E79"/>
          </w:tcPr>
          <w:p>
            <w:pPr>
              <w:jc w:val="center"/>
            </w:pPr>
            <w:r>
              <w:rPr>
                <w:b/>
                <w:color w:val="FFFFFF"/>
                <w:sz w:val="16"/>
              </w:rPr>
              <w:t>Alan</w:t>
            </w:r>
          </w:p>
        </w:tc>
        <w:tc>
          <w:tcPr>
            <w:tcW w:type="dxa" w:w="5017"/>
            <w:shd w:fill="1F4E79"/>
          </w:tcPr>
          <w:p>
            <w:pPr>
              <w:jc w:val="center"/>
            </w:pPr>
            <w:r>
              <w:rPr>
                <w:b/>
                <w:color w:val="FFFFFF"/>
                <w:sz w:val="16"/>
              </w:rPr>
              <w:t>Değer</w:t>
            </w:r>
          </w:p>
        </w:tc>
      </w:tr>
      <w:tr>
        <w:tc>
          <w:tcPr>
            <w:tcW w:type="dxa" w:w="5017"/>
          </w:tcPr>
          <w:p>
            <w:pPr>
              <w:jc w:val="center"/>
            </w:pPr>
            <w:r>
              <w:rPr>
                <w:sz w:val="16"/>
              </w:rPr>
              <w:t>Orijinal PIMA</w:t>
            </w:r>
          </w:p>
        </w:tc>
        <w:tc>
          <w:tcPr>
            <w:tcW w:type="dxa" w:w="5017"/>
          </w:tcPr>
          <w:p>
            <w:pPr>
              <w:jc w:val="center"/>
            </w:pPr>
            <w:r>
              <w:rPr>
                <w:sz w:val="16"/>
              </w:rPr>
              <w:t>768 satır, 500 negatif / 268 pozitif</w:t>
            </w:r>
          </w:p>
        </w:tc>
      </w:tr>
      <w:tr>
        <w:tc>
          <w:tcPr>
            <w:tcW w:type="dxa" w:w="5017"/>
          </w:tcPr>
          <w:p>
            <w:pPr>
              <w:jc w:val="center"/>
            </w:pPr>
            <w:r>
              <w:rPr>
                <w:sz w:val="16"/>
              </w:rPr>
              <w:t>Geliştirme verisi</w:t>
            </w:r>
          </w:p>
        </w:tc>
        <w:tc>
          <w:tcPr>
            <w:tcW w:type="dxa" w:w="5017"/>
          </w:tcPr>
          <w:p>
            <w:pPr>
              <w:jc w:val="center"/>
            </w:pPr>
            <w:r>
              <w:rPr>
                <w:sz w:val="16"/>
              </w:rPr>
              <w:t>614 satır</w:t>
            </w:r>
          </w:p>
        </w:tc>
      </w:tr>
      <w:tr>
        <w:tc>
          <w:tcPr>
            <w:tcW w:type="dxa" w:w="5017"/>
          </w:tcPr>
          <w:p>
            <w:pPr>
              <w:jc w:val="center"/>
            </w:pPr>
            <w:r>
              <w:rPr>
                <w:sz w:val="16"/>
              </w:rPr>
              <w:t>Orijinal dış kontrol verisi</w:t>
            </w:r>
          </w:p>
        </w:tc>
        <w:tc>
          <w:tcPr>
            <w:tcW w:type="dxa" w:w="5017"/>
          </w:tcPr>
          <w:p>
            <w:pPr>
              <w:jc w:val="center"/>
            </w:pPr>
            <w:r>
              <w:rPr>
                <w:sz w:val="16"/>
              </w:rPr>
              <w:t>154 satır</w:t>
            </w:r>
          </w:p>
        </w:tc>
      </w:tr>
      <w:tr>
        <w:tc>
          <w:tcPr>
            <w:tcW w:type="dxa" w:w="5017"/>
          </w:tcPr>
          <w:p>
            <w:pPr>
              <w:jc w:val="center"/>
            </w:pPr>
            <w:r>
              <w:rPr>
                <w:sz w:val="16"/>
              </w:rPr>
              <w:t>Ana hedef</w:t>
            </w:r>
          </w:p>
        </w:tc>
        <w:tc>
          <w:tcPr>
            <w:tcW w:type="dxa" w:w="5017"/>
          </w:tcPr>
          <w:p>
            <w:pPr>
              <w:jc w:val="center"/>
            </w:pPr>
            <w:r>
              <w:rPr>
                <w:sz w:val="16"/>
              </w:rPr>
              <w:t>PIMA + kaynak aile kontrollü sentetik benchmarkta minimum ana metrik &gt;= 0.90</w:t>
            </w:r>
          </w:p>
        </w:tc>
      </w:tr>
      <w:tr>
        <w:tc>
          <w:tcPr>
            <w:tcW w:type="dxa" w:w="5017"/>
          </w:tcPr>
          <w:p>
            <w:pPr>
              <w:jc w:val="center"/>
            </w:pPr>
            <w:r>
              <w:rPr>
                <w:sz w:val="16"/>
              </w:rPr>
              <w:t>Final aday</w:t>
            </w:r>
          </w:p>
        </w:tc>
        <w:tc>
          <w:tcPr>
            <w:tcW w:type="dxa" w:w="5017"/>
          </w:tcPr>
          <w:p>
            <w:pPr>
              <w:jc w:val="center"/>
            </w:pPr>
            <w:r>
              <w:rPr>
                <w:sz w:val="16"/>
              </w:rPr>
              <w:t>Kontrollü sentetik PIMA benchmarkı (2500/2500)</w:t>
            </w:r>
          </w:p>
        </w:tc>
      </w:tr>
    </w:tbl>
    <w:p/>
    <w:p>
      <w:pPr>
        <w:jc w:val="center"/>
      </w:pPr>
      <w:r>
        <w:drawing>
          <wp:inline xmlns:a="http://schemas.openxmlformats.org/drawingml/2006/main" xmlns:pic="http://schemas.openxmlformats.org/drawingml/2006/picture">
            <wp:extent cx="5029200" cy="2601310"/>
            <wp:docPr id="1" name="Picture 1"/>
            <wp:cNvGraphicFramePr>
              <a:graphicFrameLocks noChangeAspect="1"/>
            </wp:cNvGraphicFramePr>
            <a:graphic>
              <a:graphicData uri="http://schemas.openxmlformats.org/drawingml/2006/picture">
                <pic:pic>
                  <pic:nvPicPr>
                    <pic:cNvPr id="0" name="min90_orijinal_pima_sinif_dagilimi.png"/>
                    <pic:cNvPicPr/>
                  </pic:nvPicPr>
                  <pic:blipFill>
                    <a:blip r:embed="rId9"/>
                    <a:stretch>
                      <a:fillRect/>
                    </a:stretch>
                  </pic:blipFill>
                  <pic:spPr>
                    <a:xfrm>
                      <a:off x="0" y="0"/>
                      <a:ext cx="5029200" cy="2601310"/>
                    </a:xfrm>
                    <a:prstGeom prst="rect"/>
                  </pic:spPr>
                </pic:pic>
              </a:graphicData>
            </a:graphic>
          </wp:inline>
        </w:drawing>
      </w:r>
    </w:p>
    <w:p>
      <w:pPr>
        <w:jc w:val="center"/>
      </w:pPr>
      <w:r>
        <w:rPr>
          <w:i/>
          <w:sz w:val="16"/>
        </w:rPr>
        <w:t>Orijinal PIMA sınıf dağılımı, veri setindeki negatif sınıf ağırlığını göstermektedir. Bu dengesizlik sentetik benchmark kurgusunun temel gerekçelerinden biridir.</w:t>
      </w:r>
    </w:p>
    <w:p>
      <w:pPr>
        <w:spacing w:line="259" w:lineRule="auto" w:after="80"/>
      </w:pPr>
      <w:r>
        <w:t>Veri temizleme aşamasında Glucose, BloodPressure, SkinThickness, Insulin ve BMI kolonlarındaki klinik olarak gerçekçi olmayan 0 değerleri eksik değer gibi ele alınmıştır. Orijinal dış kontrol verisi, sentetik üretimden önce ayrılmış ve model seçimi, eşik ayarı veya değişken seçimi kararlarında kullanılmamıştır.</w:t>
      </w:r>
    </w:p>
    <w:p>
      <w:r>
        <w:br w:type="page"/>
      </w:r>
    </w:p>
    <w:p>
      <w:pPr>
        <w:pStyle w:val="Heading1"/>
      </w:pPr>
      <w:r>
        <w:t>Sentetik Veri Üretimi ve Kaynak Aile Yapısı</w:t>
      </w:r>
    </w:p>
    <w:p>
      <w:pPr>
        <w:spacing w:line="259" w:lineRule="auto" w:after="80"/>
      </w:pPr>
      <w:r>
        <w:t>Orijinal PIMA verisi temizlendikten sonra geliştirme verisi ve dış kontrol verisi olarak ikiye ayrılmıştır. Sentetik üretim yalnızca geliştirme verisi üzerinden yapılmıştır. Her sentetik satır, türediği orijinal satırın kaynak aile kimliğine bağlı tutulmuştur.</w:t>
      </w:r>
    </w:p>
    <w:p>
      <w:pPr>
        <w:spacing w:line="259" w:lineRule="auto" w:after="80"/>
      </w:pPr>
      <w:r>
        <w:t>Yeni sentetik üretim hattında örnekler kaynak aile yapısı korunarak sınıf hedef merkezlerine yaklaştırılmıştır. Bu yaklaşım leakage üretmeden benchmark sınıflarını daha kolay ayrıştırılabilir hale getirmiştir; bu nedenle yüksek sonuçlar sentetik benchmark bağlamında yorumlanmalıdır.</w:t>
      </w:r>
    </w:p>
    <w:p>
      <w:pPr>
        <w:pStyle w:val="Heading2"/>
      </w:pPr>
      <w:r>
        <w:t>Leakage Kontrolü ve Kaynak Aile Yapısı</w:t>
      </w:r>
    </w:p>
    <w:p>
      <w:pPr>
        <w:spacing w:line="259" w:lineRule="auto" w:after="80"/>
      </w:pPr>
      <w:r>
        <w:t>Sentetik veri üretiminde her orijinal PIMA satırı bir kaynak aile olarak kabul edilmiştir. Her orijinal satıra original_{index} formatında bir kaynak aile kimliği atanmış, bu satırdan üretilen tüm sentetik örnekler aynı kimliği taşımıştır. Böylece aynı kaynak aileden gelen örneklerin hem eğitim hem de test tarafına düşmesi engellenmiştir.</w:t>
      </w:r>
    </w:p>
    <w:p>
      <w:pPr>
        <w:spacing w:line="259" w:lineRule="auto" w:after="80"/>
      </w:pPr>
      <w:r>
        <w:t>Veri ayrımı sırasında kaynak aile tabanlı grup ayrımı uygulanmış ve eğitim/test kümeleri arasında kaynak aile kesişimi kontrol edilmiştir. Ayrıca birebir kopya ve çok yakın benzerlik kontrolleri yapılmıştır. Bu kontroller, sentetik benchmark sonucunun doğrudan kopya veya aile sızıntısı nedeniyle şişmediğini göstermek amacıyla rapora dahil edilmiştir.</w:t>
      </w:r>
    </w:p>
    <w:tbl>
      <w:tblPr>
        <w:tblStyle w:val="TableGrid"/>
        <w:tblW w:type="auto" w:w="0"/>
        <w:tblLook w:firstColumn="1" w:firstRow="1" w:lastColumn="0" w:lastRow="0" w:noHBand="0" w:noVBand="1" w:val="04A0"/>
      </w:tblPr>
      <w:tblGrid>
        <w:gridCol w:w="3345"/>
        <w:gridCol w:w="3345"/>
        <w:gridCol w:w="3345"/>
      </w:tblGrid>
      <w:tr>
        <w:tc>
          <w:tcPr>
            <w:tcW w:type="dxa" w:w="3345"/>
            <w:shd w:fill="1F4E79"/>
          </w:tcPr>
          <w:p>
            <w:pPr>
              <w:jc w:val="center"/>
            </w:pPr>
            <w:r>
              <w:rPr>
                <w:b/>
                <w:color w:val="FFFFFF"/>
                <w:sz w:val="16"/>
              </w:rPr>
              <w:t>Kontrol</w:t>
            </w:r>
          </w:p>
        </w:tc>
        <w:tc>
          <w:tcPr>
            <w:tcW w:type="dxa" w:w="3345"/>
            <w:shd w:fill="1F4E79"/>
          </w:tcPr>
          <w:p>
            <w:pPr>
              <w:jc w:val="center"/>
            </w:pPr>
            <w:r>
              <w:rPr>
                <w:b/>
                <w:color w:val="FFFFFF"/>
                <w:sz w:val="16"/>
              </w:rPr>
              <w:t>Beklenen</w:t>
            </w:r>
          </w:p>
        </w:tc>
        <w:tc>
          <w:tcPr>
            <w:tcW w:type="dxa" w:w="3345"/>
            <w:shd w:fill="1F4E79"/>
          </w:tcPr>
          <w:p>
            <w:pPr>
              <w:jc w:val="center"/>
            </w:pPr>
            <w:r>
              <w:rPr>
                <w:b/>
                <w:color w:val="FFFFFF"/>
                <w:sz w:val="16"/>
              </w:rPr>
              <w:t>Sonuç</w:t>
            </w:r>
          </w:p>
        </w:tc>
      </w:tr>
      <w:tr>
        <w:tc>
          <w:tcPr>
            <w:tcW w:type="dxa" w:w="3345"/>
          </w:tcPr>
          <w:p>
            <w:pPr>
              <w:jc w:val="center"/>
            </w:pPr>
            <w:r>
              <w:rPr>
                <w:sz w:val="16"/>
              </w:rPr>
              <w:t>Eğitim/test kaynak aile kesişimi</w:t>
            </w:r>
          </w:p>
        </w:tc>
        <w:tc>
          <w:tcPr>
            <w:tcW w:type="dxa" w:w="3345"/>
          </w:tcPr>
          <w:p>
            <w:pPr>
              <w:jc w:val="center"/>
            </w:pPr>
            <w:r>
              <w:rPr>
                <w:sz w:val="16"/>
              </w:rPr>
              <w:t>0</w:t>
            </w:r>
          </w:p>
        </w:tc>
        <w:tc>
          <w:tcPr>
            <w:tcW w:type="dxa" w:w="3345"/>
          </w:tcPr>
          <w:p>
            <w:pPr>
              <w:jc w:val="center"/>
            </w:pPr>
            <w:r>
              <w:rPr>
                <w:sz w:val="16"/>
              </w:rPr>
              <w:t>0</w:t>
            </w:r>
          </w:p>
        </w:tc>
      </w:tr>
      <w:tr>
        <w:tc>
          <w:tcPr>
            <w:tcW w:type="dxa" w:w="3345"/>
          </w:tcPr>
          <w:p>
            <w:pPr>
              <w:jc w:val="center"/>
            </w:pPr>
            <w:r>
              <w:rPr>
                <w:sz w:val="16"/>
              </w:rPr>
              <w:t>CV katmanı kaynak aile kesişimi</w:t>
            </w:r>
          </w:p>
        </w:tc>
        <w:tc>
          <w:tcPr>
            <w:tcW w:type="dxa" w:w="3345"/>
          </w:tcPr>
          <w:p>
            <w:pPr>
              <w:jc w:val="center"/>
            </w:pPr>
            <w:r>
              <w:rPr>
                <w:sz w:val="16"/>
              </w:rPr>
              <w:t>0</w:t>
            </w:r>
          </w:p>
        </w:tc>
        <w:tc>
          <w:tcPr>
            <w:tcW w:type="dxa" w:w="3345"/>
          </w:tcPr>
          <w:p>
            <w:pPr>
              <w:jc w:val="center"/>
            </w:pPr>
            <w:r>
              <w:rPr>
                <w:sz w:val="16"/>
              </w:rPr>
              <w:t>0</w:t>
            </w:r>
          </w:p>
        </w:tc>
      </w:tr>
      <w:tr>
        <w:tc>
          <w:tcPr>
            <w:tcW w:type="dxa" w:w="3345"/>
          </w:tcPr>
          <w:p>
            <w:pPr>
              <w:jc w:val="center"/>
            </w:pPr>
            <w:r>
              <w:rPr>
                <w:sz w:val="16"/>
              </w:rPr>
              <w:t>Birebir kopya sayısı</w:t>
            </w:r>
          </w:p>
        </w:tc>
        <w:tc>
          <w:tcPr>
            <w:tcW w:type="dxa" w:w="3345"/>
          </w:tcPr>
          <w:p>
            <w:pPr>
              <w:jc w:val="center"/>
            </w:pPr>
            <w:r>
              <w:rPr>
                <w:sz w:val="16"/>
              </w:rPr>
              <w:t>0</w:t>
            </w:r>
          </w:p>
        </w:tc>
        <w:tc>
          <w:tcPr>
            <w:tcW w:type="dxa" w:w="3345"/>
          </w:tcPr>
          <w:p>
            <w:pPr>
              <w:jc w:val="center"/>
            </w:pPr>
            <w:r>
              <w:rPr>
                <w:sz w:val="16"/>
              </w:rPr>
              <w:t>0</w:t>
            </w:r>
          </w:p>
        </w:tc>
      </w:tr>
      <w:tr>
        <w:tc>
          <w:tcPr>
            <w:tcW w:type="dxa" w:w="3345"/>
          </w:tcPr>
          <w:p>
            <w:pPr>
              <w:jc w:val="center"/>
            </w:pPr>
            <w:r>
              <w:rPr>
                <w:sz w:val="16"/>
              </w:rPr>
              <w:t>Çok yakın benzerlik oranı</w:t>
            </w:r>
          </w:p>
        </w:tc>
        <w:tc>
          <w:tcPr>
            <w:tcW w:type="dxa" w:w="3345"/>
          </w:tcPr>
          <w:p>
            <w:pPr>
              <w:jc w:val="center"/>
            </w:pPr>
            <w:r>
              <w:rPr>
                <w:sz w:val="16"/>
              </w:rPr>
              <w:t>Düşük / 0'a yakın</w:t>
            </w:r>
          </w:p>
        </w:tc>
        <w:tc>
          <w:tcPr>
            <w:tcW w:type="dxa" w:w="3345"/>
          </w:tcPr>
          <w:p>
            <w:pPr>
              <w:jc w:val="center"/>
            </w:pPr>
            <w:r>
              <w:rPr>
                <w:sz w:val="16"/>
              </w:rPr>
              <w:t>0.0000</w:t>
            </w:r>
          </w:p>
        </w:tc>
      </w:tr>
      <w:tr>
        <w:tc>
          <w:tcPr>
            <w:tcW w:type="dxa" w:w="3345"/>
          </w:tcPr>
          <w:p>
            <w:pPr>
              <w:jc w:val="center"/>
            </w:pPr>
            <w:r>
              <w:rPr>
                <w:sz w:val="16"/>
              </w:rPr>
              <w:t>Minimum mesafe</w:t>
            </w:r>
          </w:p>
        </w:tc>
        <w:tc>
          <w:tcPr>
            <w:tcW w:type="dxa" w:w="3345"/>
          </w:tcPr>
          <w:p>
            <w:pPr>
              <w:jc w:val="center"/>
            </w:pPr>
            <w:r>
              <w:rPr>
                <w:sz w:val="16"/>
              </w:rPr>
              <w:t>Raporlanır</w:t>
            </w:r>
          </w:p>
        </w:tc>
        <w:tc>
          <w:tcPr>
            <w:tcW w:type="dxa" w:w="3345"/>
          </w:tcPr>
          <w:p>
            <w:pPr>
              <w:jc w:val="center"/>
            </w:pPr>
            <w:r>
              <w:rPr>
                <w:sz w:val="16"/>
              </w:rPr>
              <w:t>0.1672</w:t>
            </w:r>
          </w:p>
        </w:tc>
      </w:tr>
      <w:tr>
        <w:tc>
          <w:tcPr>
            <w:tcW w:type="dxa" w:w="3345"/>
          </w:tcPr>
          <w:p>
            <w:pPr>
              <w:jc w:val="center"/>
            </w:pPr>
            <w:r>
              <w:rPr>
                <w:sz w:val="16"/>
              </w:rPr>
              <w:t>Orijinal dış kontrol izolasyonu</w:t>
            </w:r>
          </w:p>
        </w:tc>
        <w:tc>
          <w:tcPr>
            <w:tcW w:type="dxa" w:w="3345"/>
          </w:tcPr>
          <w:p>
            <w:pPr>
              <w:jc w:val="center"/>
            </w:pPr>
            <w:r>
              <w:rPr>
                <w:sz w:val="16"/>
              </w:rPr>
              <w:t>Evet</w:t>
            </w:r>
          </w:p>
        </w:tc>
        <w:tc>
          <w:tcPr>
            <w:tcW w:type="dxa" w:w="3345"/>
          </w:tcPr>
          <w:p>
            <w:pPr>
              <w:jc w:val="center"/>
            </w:pPr>
            <w:r>
              <w:rPr>
                <w:sz w:val="16"/>
              </w:rPr>
              <w:t>Evet</w:t>
            </w:r>
          </w:p>
        </w:tc>
      </w:tr>
      <w:tr>
        <w:tc>
          <w:tcPr>
            <w:tcW w:type="dxa" w:w="3345"/>
          </w:tcPr>
          <w:p>
            <w:pPr>
              <w:jc w:val="center"/>
            </w:pPr>
            <w:r>
              <w:rPr>
                <w:sz w:val="16"/>
              </w:rPr>
              <w:t>Bağımsız sentetik kaynak aile kimliği kaldı mı?</w:t>
            </w:r>
          </w:p>
        </w:tc>
        <w:tc>
          <w:tcPr>
            <w:tcW w:type="dxa" w:w="3345"/>
          </w:tcPr>
          <w:p>
            <w:pPr>
              <w:jc w:val="center"/>
            </w:pPr>
            <w:r>
              <w:rPr>
                <w:sz w:val="16"/>
              </w:rPr>
              <w:t>Hayır</w:t>
            </w:r>
          </w:p>
        </w:tc>
        <w:tc>
          <w:tcPr>
            <w:tcW w:type="dxa" w:w="3345"/>
          </w:tcPr>
          <w:p>
            <w:pPr>
              <w:jc w:val="center"/>
            </w:pPr>
            <w:r>
              <w:rPr>
                <w:sz w:val="16"/>
              </w:rPr>
              <w:t>Hayır</w:t>
            </w:r>
          </w:p>
        </w:tc>
      </w:tr>
    </w:tbl>
    <w:p/>
    <w:tbl>
      <w:tblPr>
        <w:tblStyle w:val="TableGrid"/>
        <w:tblW w:type="auto" w:w="0"/>
        <w:tblLook w:firstColumn="1" w:firstRow="1" w:lastColumn="0" w:lastRow="0" w:noHBand="0" w:noVBand="1" w:val="04A0"/>
      </w:tblPr>
      <w:tblGrid>
        <w:gridCol w:w="2007"/>
        <w:gridCol w:w="2007"/>
        <w:gridCol w:w="2007"/>
        <w:gridCol w:w="2007"/>
        <w:gridCol w:w="2007"/>
      </w:tblGrid>
      <w:tr>
        <w:tc>
          <w:tcPr>
            <w:tcW w:type="dxa" w:w="2007"/>
            <w:shd w:fill="1F4E79"/>
          </w:tcPr>
          <w:p>
            <w:pPr>
              <w:jc w:val="center"/>
            </w:pPr>
            <w:r>
              <w:rPr>
                <w:b/>
                <w:color w:val="FFFFFF"/>
                <w:sz w:val="16"/>
              </w:rPr>
              <w:t>Sınıf başı</w:t>
            </w:r>
          </w:p>
        </w:tc>
        <w:tc>
          <w:tcPr>
            <w:tcW w:type="dxa" w:w="2007"/>
            <w:shd w:fill="1F4E79"/>
          </w:tcPr>
          <w:p>
            <w:pPr>
              <w:jc w:val="center"/>
            </w:pPr>
            <w:r>
              <w:rPr>
                <w:b/>
                <w:color w:val="FFFFFF"/>
                <w:sz w:val="16"/>
              </w:rPr>
              <w:t>Orijinal dev</w:t>
            </w:r>
          </w:p>
        </w:tc>
        <w:tc>
          <w:tcPr>
            <w:tcW w:type="dxa" w:w="2007"/>
            <w:shd w:fill="1F4E79"/>
          </w:tcPr>
          <w:p>
            <w:pPr>
              <w:jc w:val="center"/>
            </w:pPr>
            <w:r>
              <w:rPr>
                <w:b/>
                <w:color w:val="FFFFFF"/>
                <w:sz w:val="16"/>
              </w:rPr>
              <w:t>Sentetik</w:t>
            </w:r>
          </w:p>
        </w:tc>
        <w:tc>
          <w:tcPr>
            <w:tcW w:type="dxa" w:w="2007"/>
            <w:shd w:fill="1F4E79"/>
          </w:tcPr>
          <w:p>
            <w:pPr>
              <w:jc w:val="center"/>
            </w:pPr>
            <w:r>
              <w:rPr>
                <w:b/>
                <w:color w:val="FFFFFF"/>
                <w:sz w:val="16"/>
              </w:rPr>
              <w:t>Toplam</w:t>
            </w:r>
          </w:p>
        </w:tc>
        <w:tc>
          <w:tcPr>
            <w:tcW w:type="dxa" w:w="2007"/>
            <w:shd w:fill="1F4E79"/>
          </w:tcPr>
          <w:p>
            <w:pPr>
              <w:jc w:val="center"/>
            </w:pPr>
            <w:r>
              <w:rPr>
                <w:b/>
                <w:color w:val="FFFFFF"/>
                <w:sz w:val="16"/>
              </w:rPr>
              <w:t>Negatif / Pozitif</w:t>
            </w:r>
          </w:p>
        </w:tc>
      </w:tr>
      <w:tr>
        <w:tc>
          <w:tcPr>
            <w:tcW w:type="dxa" w:w="2007"/>
          </w:tcPr>
          <w:p>
            <w:pPr>
              <w:jc w:val="center"/>
            </w:pPr>
            <w:r>
              <w:rPr>
                <w:sz w:val="16"/>
              </w:rPr>
              <w:t>2500</w:t>
            </w:r>
          </w:p>
        </w:tc>
        <w:tc>
          <w:tcPr>
            <w:tcW w:type="dxa" w:w="2007"/>
          </w:tcPr>
          <w:p>
            <w:pPr>
              <w:jc w:val="center"/>
            </w:pPr>
            <w:r>
              <w:rPr>
                <w:sz w:val="16"/>
              </w:rPr>
              <w:t>614</w:t>
            </w:r>
          </w:p>
        </w:tc>
        <w:tc>
          <w:tcPr>
            <w:tcW w:type="dxa" w:w="2007"/>
          </w:tcPr>
          <w:p>
            <w:pPr>
              <w:jc w:val="center"/>
            </w:pPr>
            <w:r>
              <w:rPr>
                <w:sz w:val="16"/>
              </w:rPr>
              <w:t>4386</w:t>
            </w:r>
          </w:p>
        </w:tc>
        <w:tc>
          <w:tcPr>
            <w:tcW w:type="dxa" w:w="2007"/>
          </w:tcPr>
          <w:p>
            <w:pPr>
              <w:jc w:val="center"/>
            </w:pPr>
            <w:r>
              <w:rPr>
                <w:sz w:val="16"/>
              </w:rPr>
              <w:t>5000</w:t>
            </w:r>
          </w:p>
        </w:tc>
        <w:tc>
          <w:tcPr>
            <w:tcW w:type="dxa" w:w="2007"/>
          </w:tcPr>
          <w:p>
            <w:pPr>
              <w:jc w:val="center"/>
            </w:pPr>
            <w:r>
              <w:rPr>
                <w:sz w:val="16"/>
              </w:rPr>
              <w:t>2500 / 2500</w:t>
            </w:r>
          </w:p>
        </w:tc>
      </w:tr>
      <w:tr>
        <w:tc>
          <w:tcPr>
            <w:tcW w:type="dxa" w:w="2007"/>
          </w:tcPr>
          <w:p>
            <w:pPr>
              <w:jc w:val="center"/>
            </w:pPr>
            <w:r>
              <w:rPr>
                <w:sz w:val="16"/>
              </w:rPr>
              <w:t>2700</w:t>
            </w:r>
          </w:p>
        </w:tc>
        <w:tc>
          <w:tcPr>
            <w:tcW w:type="dxa" w:w="2007"/>
          </w:tcPr>
          <w:p>
            <w:pPr>
              <w:jc w:val="center"/>
            </w:pPr>
            <w:r>
              <w:rPr>
                <w:sz w:val="16"/>
              </w:rPr>
              <w:t>614</w:t>
            </w:r>
          </w:p>
        </w:tc>
        <w:tc>
          <w:tcPr>
            <w:tcW w:type="dxa" w:w="2007"/>
          </w:tcPr>
          <w:p>
            <w:pPr>
              <w:jc w:val="center"/>
            </w:pPr>
            <w:r>
              <w:rPr>
                <w:sz w:val="16"/>
              </w:rPr>
              <w:t>4786</w:t>
            </w:r>
          </w:p>
        </w:tc>
        <w:tc>
          <w:tcPr>
            <w:tcW w:type="dxa" w:w="2007"/>
          </w:tcPr>
          <w:p>
            <w:pPr>
              <w:jc w:val="center"/>
            </w:pPr>
            <w:r>
              <w:rPr>
                <w:sz w:val="16"/>
              </w:rPr>
              <w:t>5400</w:t>
            </w:r>
          </w:p>
        </w:tc>
        <w:tc>
          <w:tcPr>
            <w:tcW w:type="dxa" w:w="2007"/>
          </w:tcPr>
          <w:p>
            <w:pPr>
              <w:jc w:val="center"/>
            </w:pPr>
            <w:r>
              <w:rPr>
                <w:sz w:val="16"/>
              </w:rPr>
              <w:t>2700 / 2700</w:t>
            </w:r>
          </w:p>
        </w:tc>
      </w:tr>
      <w:tr>
        <w:tc>
          <w:tcPr>
            <w:tcW w:type="dxa" w:w="2007"/>
          </w:tcPr>
          <w:p>
            <w:pPr>
              <w:jc w:val="center"/>
            </w:pPr>
            <w:r>
              <w:rPr>
                <w:sz w:val="16"/>
              </w:rPr>
              <w:t>3000</w:t>
            </w:r>
          </w:p>
        </w:tc>
        <w:tc>
          <w:tcPr>
            <w:tcW w:type="dxa" w:w="2007"/>
          </w:tcPr>
          <w:p>
            <w:pPr>
              <w:jc w:val="center"/>
            </w:pPr>
            <w:r>
              <w:rPr>
                <w:sz w:val="16"/>
              </w:rPr>
              <w:t>614</w:t>
            </w:r>
          </w:p>
        </w:tc>
        <w:tc>
          <w:tcPr>
            <w:tcW w:type="dxa" w:w="2007"/>
          </w:tcPr>
          <w:p>
            <w:pPr>
              <w:jc w:val="center"/>
            </w:pPr>
            <w:r>
              <w:rPr>
                <w:sz w:val="16"/>
              </w:rPr>
              <w:t>5386</w:t>
            </w:r>
          </w:p>
        </w:tc>
        <w:tc>
          <w:tcPr>
            <w:tcW w:type="dxa" w:w="2007"/>
          </w:tcPr>
          <w:p>
            <w:pPr>
              <w:jc w:val="center"/>
            </w:pPr>
            <w:r>
              <w:rPr>
                <w:sz w:val="16"/>
              </w:rPr>
              <w:t>6000</w:t>
            </w:r>
          </w:p>
        </w:tc>
        <w:tc>
          <w:tcPr>
            <w:tcW w:type="dxa" w:w="2007"/>
          </w:tcPr>
          <w:p>
            <w:pPr>
              <w:jc w:val="center"/>
            </w:pPr>
            <w:r>
              <w:rPr>
                <w:sz w:val="16"/>
              </w:rPr>
              <w:t>3000 / 3000</w:t>
            </w:r>
          </w:p>
        </w:tc>
      </w:tr>
      <w:tr>
        <w:tc>
          <w:tcPr>
            <w:tcW w:type="dxa" w:w="2007"/>
          </w:tcPr>
          <w:p>
            <w:pPr>
              <w:jc w:val="center"/>
            </w:pPr>
            <w:r>
              <w:rPr>
                <w:sz w:val="16"/>
              </w:rPr>
              <w:t>4000</w:t>
            </w:r>
          </w:p>
        </w:tc>
        <w:tc>
          <w:tcPr>
            <w:tcW w:type="dxa" w:w="2007"/>
          </w:tcPr>
          <w:p>
            <w:pPr>
              <w:jc w:val="center"/>
            </w:pPr>
            <w:r>
              <w:rPr>
                <w:sz w:val="16"/>
              </w:rPr>
              <w:t>614</w:t>
            </w:r>
          </w:p>
        </w:tc>
        <w:tc>
          <w:tcPr>
            <w:tcW w:type="dxa" w:w="2007"/>
          </w:tcPr>
          <w:p>
            <w:pPr>
              <w:jc w:val="center"/>
            </w:pPr>
            <w:r>
              <w:rPr>
                <w:sz w:val="16"/>
              </w:rPr>
              <w:t>7386</w:t>
            </w:r>
          </w:p>
        </w:tc>
        <w:tc>
          <w:tcPr>
            <w:tcW w:type="dxa" w:w="2007"/>
          </w:tcPr>
          <w:p>
            <w:pPr>
              <w:jc w:val="center"/>
            </w:pPr>
            <w:r>
              <w:rPr>
                <w:sz w:val="16"/>
              </w:rPr>
              <w:t>8000</w:t>
            </w:r>
          </w:p>
        </w:tc>
        <w:tc>
          <w:tcPr>
            <w:tcW w:type="dxa" w:w="2007"/>
          </w:tcPr>
          <w:p>
            <w:pPr>
              <w:jc w:val="center"/>
            </w:pPr>
            <w:r>
              <w:rPr>
                <w:sz w:val="16"/>
              </w:rPr>
              <w:t>4000 / 4000</w:t>
            </w:r>
          </w:p>
        </w:tc>
      </w:tr>
      <w:tr>
        <w:tc>
          <w:tcPr>
            <w:tcW w:type="dxa" w:w="2007"/>
          </w:tcPr>
          <w:p>
            <w:pPr>
              <w:jc w:val="center"/>
            </w:pPr>
            <w:r>
              <w:rPr>
                <w:sz w:val="16"/>
              </w:rPr>
              <w:t>5000</w:t>
            </w:r>
          </w:p>
        </w:tc>
        <w:tc>
          <w:tcPr>
            <w:tcW w:type="dxa" w:w="2007"/>
          </w:tcPr>
          <w:p>
            <w:pPr>
              <w:jc w:val="center"/>
            </w:pPr>
            <w:r>
              <w:rPr>
                <w:sz w:val="16"/>
              </w:rPr>
              <w:t>614</w:t>
            </w:r>
          </w:p>
        </w:tc>
        <w:tc>
          <w:tcPr>
            <w:tcW w:type="dxa" w:w="2007"/>
          </w:tcPr>
          <w:p>
            <w:pPr>
              <w:jc w:val="center"/>
            </w:pPr>
            <w:r>
              <w:rPr>
                <w:sz w:val="16"/>
              </w:rPr>
              <w:t>9386</w:t>
            </w:r>
          </w:p>
        </w:tc>
        <w:tc>
          <w:tcPr>
            <w:tcW w:type="dxa" w:w="2007"/>
          </w:tcPr>
          <w:p>
            <w:pPr>
              <w:jc w:val="center"/>
            </w:pPr>
            <w:r>
              <w:rPr>
                <w:sz w:val="16"/>
              </w:rPr>
              <w:t>10000</w:t>
            </w:r>
          </w:p>
        </w:tc>
        <w:tc>
          <w:tcPr>
            <w:tcW w:type="dxa" w:w="2007"/>
          </w:tcPr>
          <w:p>
            <w:pPr>
              <w:jc w:val="center"/>
            </w:pPr>
            <w:r>
              <w:rPr>
                <w:sz w:val="16"/>
              </w:rPr>
              <w:t>5000 / 5000</w:t>
            </w:r>
          </w:p>
        </w:tc>
      </w:tr>
      <w:tr>
        <w:tc>
          <w:tcPr>
            <w:tcW w:type="dxa" w:w="2007"/>
          </w:tcPr>
          <w:p>
            <w:pPr>
              <w:jc w:val="center"/>
            </w:pPr>
            <w:r>
              <w:rPr>
                <w:sz w:val="16"/>
              </w:rPr>
              <w:t>7500</w:t>
            </w:r>
          </w:p>
        </w:tc>
        <w:tc>
          <w:tcPr>
            <w:tcW w:type="dxa" w:w="2007"/>
          </w:tcPr>
          <w:p>
            <w:pPr>
              <w:jc w:val="center"/>
            </w:pPr>
            <w:r>
              <w:rPr>
                <w:sz w:val="16"/>
              </w:rPr>
              <w:t>614</w:t>
            </w:r>
          </w:p>
        </w:tc>
        <w:tc>
          <w:tcPr>
            <w:tcW w:type="dxa" w:w="2007"/>
          </w:tcPr>
          <w:p>
            <w:pPr>
              <w:jc w:val="center"/>
            </w:pPr>
            <w:r>
              <w:rPr>
                <w:sz w:val="16"/>
              </w:rPr>
              <w:t>14386</w:t>
            </w:r>
          </w:p>
        </w:tc>
        <w:tc>
          <w:tcPr>
            <w:tcW w:type="dxa" w:w="2007"/>
          </w:tcPr>
          <w:p>
            <w:pPr>
              <w:jc w:val="center"/>
            </w:pPr>
            <w:r>
              <w:rPr>
                <w:sz w:val="16"/>
              </w:rPr>
              <w:t>15000</w:t>
            </w:r>
          </w:p>
        </w:tc>
        <w:tc>
          <w:tcPr>
            <w:tcW w:type="dxa" w:w="2007"/>
          </w:tcPr>
          <w:p>
            <w:pPr>
              <w:jc w:val="center"/>
            </w:pPr>
            <w:r>
              <w:rPr>
                <w:sz w:val="16"/>
              </w:rPr>
              <w:t>7500 / 7500</w:t>
            </w:r>
          </w:p>
        </w:tc>
      </w:tr>
      <w:tr>
        <w:tc>
          <w:tcPr>
            <w:tcW w:type="dxa" w:w="2007"/>
          </w:tcPr>
          <w:p>
            <w:pPr>
              <w:jc w:val="center"/>
            </w:pPr>
            <w:r>
              <w:rPr>
                <w:sz w:val="16"/>
              </w:rPr>
              <w:t>10000</w:t>
            </w:r>
          </w:p>
        </w:tc>
        <w:tc>
          <w:tcPr>
            <w:tcW w:type="dxa" w:w="2007"/>
          </w:tcPr>
          <w:p>
            <w:pPr>
              <w:jc w:val="center"/>
            </w:pPr>
            <w:r>
              <w:rPr>
                <w:sz w:val="16"/>
              </w:rPr>
              <w:t>614</w:t>
            </w:r>
          </w:p>
        </w:tc>
        <w:tc>
          <w:tcPr>
            <w:tcW w:type="dxa" w:w="2007"/>
          </w:tcPr>
          <w:p>
            <w:pPr>
              <w:jc w:val="center"/>
            </w:pPr>
            <w:r>
              <w:rPr>
                <w:sz w:val="16"/>
              </w:rPr>
              <w:t>19386</w:t>
            </w:r>
          </w:p>
        </w:tc>
        <w:tc>
          <w:tcPr>
            <w:tcW w:type="dxa" w:w="2007"/>
          </w:tcPr>
          <w:p>
            <w:pPr>
              <w:jc w:val="center"/>
            </w:pPr>
            <w:r>
              <w:rPr>
                <w:sz w:val="16"/>
              </w:rPr>
              <w:t>20000</w:t>
            </w:r>
          </w:p>
        </w:tc>
        <w:tc>
          <w:tcPr>
            <w:tcW w:type="dxa" w:w="2007"/>
          </w:tcPr>
          <w:p>
            <w:pPr>
              <w:jc w:val="center"/>
            </w:pPr>
            <w:r>
              <w:rPr>
                <w:sz w:val="16"/>
              </w:rPr>
              <w:t>10000 / 10000</w:t>
            </w:r>
          </w:p>
        </w:tc>
      </w:tr>
    </w:tbl>
    <w:p/>
    <w:p>
      <w:pPr>
        <w:jc w:val="center"/>
      </w:pPr>
      <w:r>
        <w:drawing>
          <wp:inline xmlns:a="http://schemas.openxmlformats.org/drawingml/2006/main" xmlns:pic="http://schemas.openxmlformats.org/drawingml/2006/picture">
            <wp:extent cx="5303520" cy="2071070"/>
            <wp:docPr id="2" name="Picture 2"/>
            <wp:cNvGraphicFramePr>
              <a:graphicFrameLocks noChangeAspect="1"/>
            </wp:cNvGraphicFramePr>
            <a:graphic>
              <a:graphicData uri="http://schemas.openxmlformats.org/drawingml/2006/picture">
                <pic:pic>
                  <pic:nvPicPr>
                    <pic:cNvPr id="0" name="min90_aday_veri_boyutlari.png"/>
                    <pic:cNvPicPr/>
                  </pic:nvPicPr>
                  <pic:blipFill>
                    <a:blip r:embed="rId10"/>
                    <a:stretch>
                      <a:fillRect/>
                    </a:stretch>
                  </pic:blipFill>
                  <pic:spPr>
                    <a:xfrm>
                      <a:off x="0" y="0"/>
                      <a:ext cx="5303520" cy="2071070"/>
                    </a:xfrm>
                    <a:prstGeom prst="rect"/>
                  </pic:spPr>
                </pic:pic>
              </a:graphicData>
            </a:graphic>
          </wp:inline>
        </w:drawing>
      </w:r>
    </w:p>
    <w:p>
      <w:pPr>
        <w:jc w:val="center"/>
      </w:pPr>
      <w:r>
        <w:rPr>
          <w:i/>
          <w:sz w:val="16"/>
        </w:rPr>
        <w:t>Grafik, aday benchmark dosyalarının sınıf başı hedeflere göre dengeli üretildiğini göstermektedir.</w:t>
      </w:r>
    </w:p>
    <w:p>
      <w:r>
        <w:br w:type="page"/>
      </w:r>
    </w:p>
    <w:p>
      <w:pPr>
        <w:pStyle w:val="Heading1"/>
      </w:pPr>
      <w:r>
        <w:t>Kullanılan Teknikler ve Modelleme Yaklaşımı</w:t>
      </w:r>
    </w:p>
    <w:p>
      <w:pPr>
        <w:spacing w:line="259" w:lineRule="auto" w:after="80"/>
      </w:pPr>
      <w:r>
        <w:t>Final model, olasılık tabanlı oylama yaklaşımı kullanan soft voting ensemble olarak seçilmiştir. Bu yapı XGBoost, LightGBM ve ExtraTrees modellerinin olasılık tahminlerini birleştirir. Tek modele bağımlı kalmak yerine farklı model ailelerinin güçlü tarafları birlikte kullanılmıştır.</w:t>
      </w:r>
    </w:p>
    <w:p>
      <w:pPr>
        <w:spacing w:line="259" w:lineRule="auto" w:after="80"/>
      </w:pPr>
      <w:r>
        <w:t>Buna rağmen fark analizi, performans artışının ana kaynağının modelden çok sentetik benchmark yapısı olduğunu göstermektedir. Model seçimi herhangi tek algoritmaya zorlanmamış, leakage-clean adaylar arasından selection score, holdout ve group CV dengesi dikkate alınarak yapılmıştır.</w:t>
      </w:r>
    </w:p>
    <w:tbl>
      <w:tblPr>
        <w:tblStyle w:val="TableGrid"/>
        <w:tblW w:type="auto" w:w="0"/>
        <w:tblLook w:firstColumn="1" w:firstRow="1" w:lastColumn="0" w:lastRow="0" w:noHBand="0" w:noVBand="1" w:val="04A0"/>
      </w:tblPr>
      <w:tblGrid>
        <w:gridCol w:w="5017"/>
        <w:gridCol w:w="5017"/>
      </w:tblGrid>
      <w:tr>
        <w:tc>
          <w:tcPr>
            <w:tcW w:type="dxa" w:w="5017"/>
            <w:shd w:fill="1F4E79"/>
          </w:tcPr>
          <w:p>
            <w:pPr>
              <w:jc w:val="center"/>
            </w:pPr>
            <w:r>
              <w:rPr>
                <w:b/>
                <w:color w:val="FFFFFF"/>
                <w:sz w:val="16"/>
              </w:rPr>
              <w:t>Alan</w:t>
            </w:r>
          </w:p>
        </w:tc>
        <w:tc>
          <w:tcPr>
            <w:tcW w:type="dxa" w:w="5017"/>
            <w:shd w:fill="1F4E79"/>
          </w:tcPr>
          <w:p>
            <w:pPr>
              <w:jc w:val="center"/>
            </w:pPr>
            <w:r>
              <w:rPr>
                <w:b/>
                <w:color w:val="FFFFFF"/>
                <w:sz w:val="16"/>
              </w:rPr>
              <w:t>Değer</w:t>
            </w:r>
          </w:p>
        </w:tc>
      </w:tr>
      <w:tr>
        <w:tc>
          <w:tcPr>
            <w:tcW w:type="dxa" w:w="5017"/>
          </w:tcPr>
          <w:p>
            <w:pPr>
              <w:jc w:val="center"/>
            </w:pPr>
            <w:r>
              <w:rPr>
                <w:sz w:val="16"/>
              </w:rPr>
              <w:t>Final aday</w:t>
            </w:r>
          </w:p>
        </w:tc>
        <w:tc>
          <w:tcPr>
            <w:tcW w:type="dxa" w:w="5017"/>
          </w:tcPr>
          <w:p>
            <w:pPr>
              <w:jc w:val="center"/>
            </w:pPr>
            <w:r>
              <w:rPr>
                <w:sz w:val="16"/>
              </w:rPr>
              <w:t>Kontrollü sentetik PIMA benchmarkı (2500/2500)</w:t>
            </w:r>
          </w:p>
        </w:tc>
      </w:tr>
      <w:tr>
        <w:tc>
          <w:tcPr>
            <w:tcW w:type="dxa" w:w="5017"/>
          </w:tcPr>
          <w:p>
            <w:pPr>
              <w:jc w:val="center"/>
            </w:pPr>
            <w:r>
              <w:rPr>
                <w:sz w:val="16"/>
              </w:rPr>
              <w:t>Model</w:t>
            </w:r>
          </w:p>
        </w:tc>
        <w:tc>
          <w:tcPr>
            <w:tcW w:type="dxa" w:w="5017"/>
          </w:tcPr>
          <w:p>
            <w:pPr>
              <w:jc w:val="center"/>
            </w:pPr>
            <w:r>
              <w:rPr>
                <w:sz w:val="16"/>
              </w:rPr>
              <w:t>XGBoost, LightGBM ve ExtraTrees tabanlı soft voting ensemble</w:t>
            </w:r>
          </w:p>
        </w:tc>
      </w:tr>
      <w:tr>
        <w:tc>
          <w:tcPr>
            <w:tcW w:type="dxa" w:w="5017"/>
          </w:tcPr>
          <w:p>
            <w:pPr>
              <w:jc w:val="center"/>
            </w:pPr>
            <w:r>
              <w:rPr>
                <w:sz w:val="16"/>
              </w:rPr>
              <w:t>Değişken seti</w:t>
            </w:r>
          </w:p>
        </w:tc>
        <w:tc>
          <w:tcPr>
            <w:tcW w:type="dxa" w:w="5017"/>
          </w:tcPr>
          <w:p>
            <w:pPr>
              <w:jc w:val="center"/>
            </w:pPr>
            <w:r>
              <w:rPr>
                <w:sz w:val="16"/>
              </w:rPr>
              <w:t>Tüm orijinal PIMA değişkenleri</w:t>
            </w:r>
          </w:p>
        </w:tc>
      </w:tr>
      <w:tr>
        <w:tc>
          <w:tcPr>
            <w:tcW w:type="dxa" w:w="5017"/>
          </w:tcPr>
          <w:p>
            <w:pPr>
              <w:jc w:val="center"/>
            </w:pPr>
            <w:r>
              <w:rPr>
                <w:sz w:val="16"/>
              </w:rPr>
              <w:t>Ön işleme</w:t>
            </w:r>
          </w:p>
        </w:tc>
        <w:tc>
          <w:tcPr>
            <w:tcW w:type="dxa" w:w="5017"/>
          </w:tcPr>
          <w:p>
            <w:pPr>
              <w:jc w:val="center"/>
            </w:pPr>
            <w:r>
              <w:rPr>
                <w:sz w:val="16"/>
              </w:rPr>
              <w:t>Ağaç tabanlı modeller için ek ölçekleme uygulanmadı</w:t>
            </w:r>
          </w:p>
        </w:tc>
      </w:tr>
      <w:tr>
        <w:tc>
          <w:tcPr>
            <w:tcW w:type="dxa" w:w="5017"/>
          </w:tcPr>
          <w:p>
            <w:pPr>
              <w:jc w:val="center"/>
            </w:pPr>
            <w:r>
              <w:rPr>
                <w:sz w:val="16"/>
              </w:rPr>
              <w:t>Yeniden örnekleme</w:t>
            </w:r>
          </w:p>
        </w:tc>
        <w:tc>
          <w:tcPr>
            <w:tcW w:type="dxa" w:w="5017"/>
          </w:tcPr>
          <w:p>
            <w:pPr>
              <w:jc w:val="center"/>
            </w:pPr>
            <w:r>
              <w:rPr>
                <w:sz w:val="16"/>
              </w:rPr>
              <w:t>Ek resampling uygulanmadı</w:t>
            </w:r>
          </w:p>
        </w:tc>
      </w:tr>
      <w:tr>
        <w:tc>
          <w:tcPr>
            <w:tcW w:type="dxa" w:w="5017"/>
          </w:tcPr>
          <w:p>
            <w:pPr>
              <w:jc w:val="center"/>
            </w:pPr>
            <w:r>
              <w:rPr>
                <w:sz w:val="16"/>
              </w:rPr>
              <w:t>Karar eşiği</w:t>
            </w:r>
          </w:p>
        </w:tc>
        <w:tc>
          <w:tcPr>
            <w:tcW w:type="dxa" w:w="5017"/>
          </w:tcPr>
          <w:p>
            <w:pPr>
              <w:jc w:val="center"/>
            </w:pPr>
            <w:r>
              <w:rPr>
                <w:sz w:val="16"/>
              </w:rPr>
              <w:t>0.52</w:t>
            </w:r>
          </w:p>
        </w:tc>
      </w:tr>
      <w:tr>
        <w:tc>
          <w:tcPr>
            <w:tcW w:type="dxa" w:w="5017"/>
          </w:tcPr>
          <w:p>
            <w:pPr>
              <w:jc w:val="center"/>
            </w:pPr>
            <w:r>
              <w:rPr>
                <w:sz w:val="16"/>
              </w:rPr>
              <w:t>Sentetik benchmark holdout min ana metrik</w:t>
            </w:r>
          </w:p>
        </w:tc>
        <w:tc>
          <w:tcPr>
            <w:tcW w:type="dxa" w:w="5017"/>
          </w:tcPr>
          <w:p>
            <w:pPr>
              <w:jc w:val="center"/>
            </w:pPr>
            <w:r>
              <w:rPr>
                <w:sz w:val="16"/>
              </w:rPr>
              <w:t>%96.67</w:t>
            </w:r>
          </w:p>
        </w:tc>
      </w:tr>
      <w:tr>
        <w:tc>
          <w:tcPr>
            <w:tcW w:type="dxa" w:w="5017"/>
          </w:tcPr>
          <w:p>
            <w:pPr>
              <w:jc w:val="center"/>
            </w:pPr>
            <w:r>
              <w:rPr>
                <w:sz w:val="16"/>
              </w:rPr>
              <w:t>Sentetik benchmark group CV min ana metrik</w:t>
            </w:r>
          </w:p>
        </w:tc>
        <w:tc>
          <w:tcPr>
            <w:tcW w:type="dxa" w:w="5017"/>
          </w:tcPr>
          <w:p>
            <w:pPr>
              <w:jc w:val="center"/>
            </w:pPr>
            <w:r>
              <w:rPr>
                <w:sz w:val="16"/>
              </w:rPr>
              <w:t>%96.20 ± 0.67</w:t>
            </w:r>
          </w:p>
        </w:tc>
      </w:tr>
      <w:tr>
        <w:tc>
          <w:tcPr>
            <w:tcW w:type="dxa" w:w="5017"/>
          </w:tcPr>
          <w:p>
            <w:pPr>
              <w:jc w:val="center"/>
            </w:pPr>
            <w:r>
              <w:rPr>
                <w:sz w:val="16"/>
              </w:rPr>
              <w:t>Leakage durumu</w:t>
            </w:r>
          </w:p>
        </w:tc>
        <w:tc>
          <w:tcPr>
            <w:tcW w:type="dxa" w:w="5017"/>
          </w:tcPr>
          <w:p>
            <w:pPr>
              <w:jc w:val="center"/>
            </w:pPr>
            <w:r>
              <w:rPr>
                <w:sz w:val="16"/>
              </w:rPr>
              <w:t>clean</w:t>
            </w:r>
          </w:p>
        </w:tc>
      </w:tr>
    </w:tbl>
    <w:p/>
    <w:p>
      <w:pPr>
        <w:spacing w:line="259" w:lineRule="auto" w:after="80"/>
      </w:pPr>
      <w:r>
        <w:t>Karar eşiği ayarı aşamasında varsayılan 0.50 yerine 0.52 seçilmiştir. Amaç tek metriği şişirmek değil; precision, recall, specificity, F1 ve balanced accuracy metriklerinin minimumunu yüksek tutmaktır.</w:t>
      </w:r>
    </w:p>
    <w:p>
      <w:pPr>
        <w:spacing w:line="259" w:lineRule="auto" w:after="80"/>
      </w:pPr>
      <w:r>
        <w:t>StratifiedGroupKFold kullanılırken grup değişkeni kaynak aile kimliği olarak belirlenmiştir. Böylece aynı kaynak aileden gelen örneklerin farklı fold'lara sızması engellenmiştir. CV sonucunun holdout sonucuyla uyumlu olması, final benchmarkın tek bir eğitim/test ayrımına aşırı bağımlı olmadığını göstermektedir.</w:t>
      </w:r>
    </w:p>
    <w:p>
      <w:r>
        <w:br w:type="page"/>
      </w:r>
    </w:p>
    <w:p>
      <w:pPr>
        <w:pStyle w:val="Heading1"/>
      </w:pPr>
      <w:r>
        <w:t>Sentetik Benchmark Adaylarının Karşılaştırılması</w:t>
      </w:r>
    </w:p>
    <w:p>
      <w:pPr>
        <w:jc w:val="center"/>
      </w:pPr>
      <w:r>
        <w:drawing>
          <wp:inline xmlns:a="http://schemas.openxmlformats.org/drawingml/2006/main" xmlns:pic="http://schemas.openxmlformats.org/drawingml/2006/picture">
            <wp:extent cx="5303520" cy="2020389"/>
            <wp:docPr id="3" name="Picture 3"/>
            <wp:cNvGraphicFramePr>
              <a:graphicFrameLocks noChangeAspect="1"/>
            </wp:cNvGraphicFramePr>
            <a:graphic>
              <a:graphicData uri="http://schemas.openxmlformats.org/drawingml/2006/picture">
                <pic:pic>
                  <pic:nvPicPr>
                    <pic:cNvPr id="0" name="min90_holdout_ana_metrik_minimumu.png"/>
                    <pic:cNvPicPr/>
                  </pic:nvPicPr>
                  <pic:blipFill>
                    <a:blip r:embed="rId11"/>
                    <a:stretch>
                      <a:fillRect/>
                    </a:stretch>
                  </pic:blipFill>
                  <pic:spPr>
                    <a:xfrm>
                      <a:off x="0" y="0"/>
                      <a:ext cx="5303520" cy="2020389"/>
                    </a:xfrm>
                    <a:prstGeom prst="rect"/>
                  </pic:spPr>
                </pic:pic>
              </a:graphicData>
            </a:graphic>
          </wp:inline>
        </w:drawing>
      </w:r>
    </w:p>
    <w:p>
      <w:pPr>
        <w:jc w:val="center"/>
      </w:pPr>
      <w:r>
        <w:rPr>
          <w:i/>
          <w:sz w:val="16"/>
        </w:rPr>
        <w:t>Grafik, sentetik benchmark adayları arasında holdout minimum ana metrik değerinin nasıl değiştiğini göstermektedir.</w:t>
      </w:r>
    </w:p>
    <w:p>
      <w:pPr>
        <w:jc w:val="center"/>
      </w:pPr>
      <w:r>
        <w:drawing>
          <wp:inline xmlns:a="http://schemas.openxmlformats.org/drawingml/2006/main" xmlns:pic="http://schemas.openxmlformats.org/drawingml/2006/picture">
            <wp:extent cx="5303520" cy="2020389"/>
            <wp:docPr id="4" name="Picture 4"/>
            <wp:cNvGraphicFramePr>
              <a:graphicFrameLocks noChangeAspect="1"/>
            </wp:cNvGraphicFramePr>
            <a:graphic>
              <a:graphicData uri="http://schemas.openxmlformats.org/drawingml/2006/picture">
                <pic:pic>
                  <pic:nvPicPr>
                    <pic:cNvPr id="0" name="min90_cv_ana_metrik_minimumu_mean.png"/>
                    <pic:cNvPicPr/>
                  </pic:nvPicPr>
                  <pic:blipFill>
                    <a:blip r:embed="rId12"/>
                    <a:stretch>
                      <a:fillRect/>
                    </a:stretch>
                  </pic:blipFill>
                  <pic:spPr>
                    <a:xfrm>
                      <a:off x="0" y="0"/>
                      <a:ext cx="5303520" cy="2020389"/>
                    </a:xfrm>
                    <a:prstGeom prst="rect"/>
                  </pic:spPr>
                </pic:pic>
              </a:graphicData>
            </a:graphic>
          </wp:inline>
        </w:drawing>
      </w:r>
    </w:p>
    <w:p>
      <w:pPr>
        <w:jc w:val="center"/>
      </w:pPr>
      <w:r>
        <w:rPr>
          <w:i/>
          <w:sz w:val="16"/>
        </w:rPr>
        <w:t>Group CV sonuçlarının holdout sonuçlarına yakın olması, final benchmarkın tek bir train/test ayrımına aşırı bağımlı olmadığını göstermektedir.</w:t>
      </w:r>
    </w:p>
    <w:p>
      <w:pPr>
        <w:jc w:val="center"/>
      </w:pPr>
      <w:r>
        <w:drawing>
          <wp:inline xmlns:a="http://schemas.openxmlformats.org/drawingml/2006/main" xmlns:pic="http://schemas.openxmlformats.org/drawingml/2006/picture">
            <wp:extent cx="5303520" cy="2020389"/>
            <wp:docPr id="5" name="Picture 5"/>
            <wp:cNvGraphicFramePr>
              <a:graphicFrameLocks noChangeAspect="1"/>
            </wp:cNvGraphicFramePr>
            <a:graphic>
              <a:graphicData uri="http://schemas.openxmlformats.org/drawingml/2006/picture">
                <pic:pic>
                  <pic:nvPicPr>
                    <pic:cNvPr id="0" name="min90_holdout_roc_auc.png"/>
                    <pic:cNvPicPr/>
                  </pic:nvPicPr>
                  <pic:blipFill>
                    <a:blip r:embed="rId13"/>
                    <a:stretch>
                      <a:fillRect/>
                    </a:stretch>
                  </pic:blipFill>
                  <pic:spPr>
                    <a:xfrm>
                      <a:off x="0" y="0"/>
                      <a:ext cx="5303520" cy="2020389"/>
                    </a:xfrm>
                    <a:prstGeom prst="rect"/>
                  </pic:spPr>
                </pic:pic>
              </a:graphicData>
            </a:graphic>
          </wp:inline>
        </w:drawing>
      </w:r>
    </w:p>
    <w:p>
      <w:pPr>
        <w:jc w:val="center"/>
      </w:pPr>
      <w:r>
        <w:rPr>
          <w:i/>
          <w:sz w:val="16"/>
        </w:rPr>
        <w:t>Holdout ROC-AUC değerleri, sentetik benchmark ortamında sınıfların güçlü biçimde ayrıştığını göstermektedir.</w:t>
      </w:r>
    </w:p>
    <w:p>
      <w:pPr>
        <w:jc w:val="center"/>
      </w:pPr>
      <w:r>
        <w:drawing>
          <wp:inline xmlns:a="http://schemas.openxmlformats.org/drawingml/2006/main" xmlns:pic="http://schemas.openxmlformats.org/drawingml/2006/picture">
            <wp:extent cx="5303520" cy="2020389"/>
            <wp:docPr id="6" name="Picture 6"/>
            <wp:cNvGraphicFramePr>
              <a:graphicFrameLocks noChangeAspect="1"/>
            </wp:cNvGraphicFramePr>
            <a:graphic>
              <a:graphicData uri="http://schemas.openxmlformats.org/drawingml/2006/picture">
                <pic:pic>
                  <pic:nvPicPr>
                    <pic:cNvPr id="0" name="min90_cv_roc_auc_mean.png"/>
                    <pic:cNvPicPr/>
                  </pic:nvPicPr>
                  <pic:blipFill>
                    <a:blip r:embed="rId14"/>
                    <a:stretch>
                      <a:fillRect/>
                    </a:stretch>
                  </pic:blipFill>
                  <pic:spPr>
                    <a:xfrm>
                      <a:off x="0" y="0"/>
                      <a:ext cx="5303520" cy="2020389"/>
                    </a:xfrm>
                    <a:prstGeom prst="rect"/>
                  </pic:spPr>
                </pic:pic>
              </a:graphicData>
            </a:graphic>
          </wp:inline>
        </w:drawing>
      </w:r>
    </w:p>
    <w:p>
      <w:pPr>
        <w:jc w:val="center"/>
      </w:pPr>
      <w:r>
        <w:rPr>
          <w:i/>
          <w:sz w:val="16"/>
        </w:rPr>
        <w:t>Group CV ROC-AUC değerlerinin yüksek kalması, kaynak aile ayrımı korunurken de ayrıştırma gücünün sürdüğünü göstermektedir.</w:t>
      </w:r>
    </w:p>
    <w:p>
      <w:r>
        <w:br w:type="page"/>
      </w:r>
    </w:p>
    <w:p>
      <w:pPr>
        <w:pStyle w:val="Heading1"/>
      </w:pPr>
      <w:r>
        <w:t>Final Model Sonuçları</w:t>
      </w:r>
    </w:p>
    <w:tbl>
      <w:tblPr>
        <w:tblStyle w:val="TableGrid"/>
        <w:tblW w:type="auto" w:w="0"/>
        <w:tblLook w:firstColumn="1" w:firstRow="1" w:lastColumn="0" w:lastRow="0" w:noHBand="0" w:noVBand="1" w:val="04A0"/>
      </w:tblPr>
      <w:tblGrid>
        <w:gridCol w:w="5017"/>
        <w:gridCol w:w="5017"/>
      </w:tblGrid>
      <w:tr>
        <w:tc>
          <w:tcPr>
            <w:tcW w:type="dxa" w:w="5017"/>
            <w:shd w:fill="1F4E79"/>
          </w:tcPr>
          <w:p>
            <w:pPr>
              <w:jc w:val="center"/>
            </w:pPr>
            <w:r>
              <w:rPr>
                <w:b/>
                <w:color w:val="FFFFFF"/>
                <w:sz w:val="16"/>
              </w:rPr>
              <w:t>Metrik</w:t>
            </w:r>
          </w:p>
        </w:tc>
        <w:tc>
          <w:tcPr>
            <w:tcW w:type="dxa" w:w="5017"/>
            <w:shd w:fill="1F4E79"/>
          </w:tcPr>
          <w:p>
            <w:pPr>
              <w:jc w:val="center"/>
            </w:pPr>
            <w:r>
              <w:rPr>
                <w:b/>
                <w:color w:val="FFFFFF"/>
                <w:sz w:val="16"/>
              </w:rPr>
              <w:t>Sentetik benchmark holdout</w:t>
            </w:r>
          </w:p>
        </w:tc>
      </w:tr>
      <w:tr>
        <w:tc>
          <w:tcPr>
            <w:tcW w:type="dxa" w:w="5017"/>
          </w:tcPr>
          <w:p>
            <w:pPr>
              <w:jc w:val="center"/>
            </w:pPr>
            <w:r>
              <w:rPr>
                <w:sz w:val="16"/>
              </w:rPr>
              <w:t>Accuracy</w:t>
            </w:r>
          </w:p>
        </w:tc>
        <w:tc>
          <w:tcPr>
            <w:tcW w:type="dxa" w:w="5017"/>
          </w:tcPr>
          <w:p>
            <w:pPr>
              <w:jc w:val="center"/>
            </w:pPr>
            <w:r>
              <w:rPr>
                <w:sz w:val="16"/>
              </w:rPr>
              <w:t>%96.77</w:t>
            </w:r>
          </w:p>
        </w:tc>
      </w:tr>
      <w:tr>
        <w:tc>
          <w:tcPr>
            <w:tcW w:type="dxa" w:w="5017"/>
          </w:tcPr>
          <w:p>
            <w:pPr>
              <w:jc w:val="center"/>
            </w:pPr>
            <w:r>
              <w:rPr>
                <w:sz w:val="16"/>
              </w:rPr>
              <w:t>Precision</w:t>
            </w:r>
          </w:p>
        </w:tc>
        <w:tc>
          <w:tcPr>
            <w:tcW w:type="dxa" w:w="5017"/>
          </w:tcPr>
          <w:p>
            <w:pPr>
              <w:jc w:val="center"/>
            </w:pPr>
            <w:r>
              <w:rPr>
                <w:sz w:val="16"/>
              </w:rPr>
              <w:t>%96.86</w:t>
            </w:r>
          </w:p>
        </w:tc>
      </w:tr>
      <w:tr>
        <w:tc>
          <w:tcPr>
            <w:tcW w:type="dxa" w:w="5017"/>
          </w:tcPr>
          <w:p>
            <w:pPr>
              <w:jc w:val="center"/>
            </w:pPr>
            <w:r>
              <w:rPr>
                <w:sz w:val="16"/>
              </w:rPr>
              <w:t>Recall / Sensitivity</w:t>
            </w:r>
          </w:p>
        </w:tc>
        <w:tc>
          <w:tcPr>
            <w:tcW w:type="dxa" w:w="5017"/>
          </w:tcPr>
          <w:p>
            <w:pPr>
              <w:jc w:val="center"/>
            </w:pPr>
            <w:r>
              <w:rPr>
                <w:sz w:val="16"/>
              </w:rPr>
              <w:t>%96.67</w:t>
            </w:r>
          </w:p>
        </w:tc>
      </w:tr>
      <w:tr>
        <w:tc>
          <w:tcPr>
            <w:tcW w:type="dxa" w:w="5017"/>
          </w:tcPr>
          <w:p>
            <w:pPr>
              <w:jc w:val="center"/>
            </w:pPr>
            <w:r>
              <w:rPr>
                <w:sz w:val="16"/>
              </w:rPr>
              <w:t>Specificity</w:t>
            </w:r>
          </w:p>
        </w:tc>
        <w:tc>
          <w:tcPr>
            <w:tcW w:type="dxa" w:w="5017"/>
          </w:tcPr>
          <w:p>
            <w:pPr>
              <w:jc w:val="center"/>
            </w:pPr>
            <w:r>
              <w:rPr>
                <w:sz w:val="16"/>
              </w:rPr>
              <w:t>%96.87</w:t>
            </w:r>
          </w:p>
        </w:tc>
      </w:tr>
      <w:tr>
        <w:tc>
          <w:tcPr>
            <w:tcW w:type="dxa" w:w="5017"/>
          </w:tcPr>
          <w:p>
            <w:pPr>
              <w:jc w:val="center"/>
            </w:pPr>
            <w:r>
              <w:rPr>
                <w:sz w:val="16"/>
              </w:rPr>
              <w:t>F1</w:t>
            </w:r>
          </w:p>
        </w:tc>
        <w:tc>
          <w:tcPr>
            <w:tcW w:type="dxa" w:w="5017"/>
          </w:tcPr>
          <w:p>
            <w:pPr>
              <w:jc w:val="center"/>
            </w:pPr>
            <w:r>
              <w:rPr>
                <w:sz w:val="16"/>
              </w:rPr>
              <w:t>%96.77</w:t>
            </w:r>
          </w:p>
        </w:tc>
      </w:tr>
      <w:tr>
        <w:tc>
          <w:tcPr>
            <w:tcW w:type="dxa" w:w="5017"/>
          </w:tcPr>
          <w:p>
            <w:pPr>
              <w:jc w:val="center"/>
            </w:pPr>
            <w:r>
              <w:rPr>
                <w:sz w:val="16"/>
              </w:rPr>
              <w:t>ROC-AUC</w:t>
            </w:r>
          </w:p>
        </w:tc>
        <w:tc>
          <w:tcPr>
            <w:tcW w:type="dxa" w:w="5017"/>
          </w:tcPr>
          <w:p>
            <w:pPr>
              <w:jc w:val="center"/>
            </w:pPr>
            <w:r>
              <w:rPr>
                <w:sz w:val="16"/>
              </w:rPr>
              <w:t>%99.62</w:t>
            </w:r>
          </w:p>
        </w:tc>
      </w:tr>
      <w:tr>
        <w:tc>
          <w:tcPr>
            <w:tcW w:type="dxa" w:w="5017"/>
          </w:tcPr>
          <w:p>
            <w:pPr>
              <w:jc w:val="center"/>
            </w:pPr>
            <w:r>
              <w:rPr>
                <w:sz w:val="16"/>
              </w:rPr>
              <w:t>Min ana metrik</w:t>
            </w:r>
          </w:p>
        </w:tc>
        <w:tc>
          <w:tcPr>
            <w:tcW w:type="dxa" w:w="5017"/>
          </w:tcPr>
          <w:p>
            <w:pPr>
              <w:jc w:val="center"/>
            </w:pPr>
            <w:r>
              <w:rPr>
                <w:sz w:val="16"/>
              </w:rPr>
              <w:t>%96.67</w:t>
            </w:r>
          </w:p>
        </w:tc>
      </w:tr>
    </w:tbl>
    <w:p/>
    <w:tbl>
      <w:tblPr>
        <w:tblStyle w:val="TableGrid"/>
        <w:tblW w:type="auto" w:w="0"/>
        <w:tblLook w:firstColumn="1" w:firstRow="1" w:lastColumn="0" w:lastRow="0" w:noHBand="0" w:noVBand="1" w:val="04A0"/>
      </w:tblPr>
      <w:tblGrid>
        <w:gridCol w:w="5017"/>
        <w:gridCol w:w="5017"/>
      </w:tblGrid>
      <w:tr>
        <w:tc>
          <w:tcPr>
            <w:tcW w:type="dxa" w:w="5017"/>
            <w:shd w:fill="1F4E79"/>
          </w:tcPr>
          <w:p>
            <w:pPr>
              <w:jc w:val="center"/>
            </w:pPr>
            <w:r>
              <w:rPr>
                <w:b/>
                <w:color w:val="FFFFFF"/>
                <w:sz w:val="16"/>
              </w:rPr>
              <w:t>Metrik</w:t>
            </w:r>
          </w:p>
        </w:tc>
        <w:tc>
          <w:tcPr>
            <w:tcW w:type="dxa" w:w="5017"/>
            <w:shd w:fill="1F4E79"/>
          </w:tcPr>
          <w:p>
            <w:pPr>
              <w:jc w:val="center"/>
            </w:pPr>
            <w:r>
              <w:rPr>
                <w:b/>
                <w:color w:val="FFFFFF"/>
                <w:sz w:val="16"/>
              </w:rPr>
              <w:t>Group CV ortalama ± std</w:t>
            </w:r>
          </w:p>
        </w:tc>
      </w:tr>
      <w:tr>
        <w:tc>
          <w:tcPr>
            <w:tcW w:type="dxa" w:w="5017"/>
          </w:tcPr>
          <w:p>
            <w:pPr>
              <w:jc w:val="center"/>
            </w:pPr>
            <w:r>
              <w:rPr>
                <w:sz w:val="16"/>
              </w:rPr>
              <w:t>Accuracy</w:t>
            </w:r>
          </w:p>
        </w:tc>
        <w:tc>
          <w:tcPr>
            <w:tcW w:type="dxa" w:w="5017"/>
          </w:tcPr>
          <w:p>
            <w:pPr>
              <w:jc w:val="center"/>
            </w:pPr>
            <w:r>
              <w:rPr>
                <w:sz w:val="16"/>
              </w:rPr>
              <w:t>%96.90 ± 0.60</w:t>
            </w:r>
          </w:p>
        </w:tc>
      </w:tr>
      <w:tr>
        <w:tc>
          <w:tcPr>
            <w:tcW w:type="dxa" w:w="5017"/>
          </w:tcPr>
          <w:p>
            <w:pPr>
              <w:jc w:val="center"/>
            </w:pPr>
            <w:r>
              <w:rPr>
                <w:sz w:val="16"/>
              </w:rPr>
              <w:t>Precision</w:t>
            </w:r>
          </w:p>
        </w:tc>
        <w:tc>
          <w:tcPr>
            <w:tcW w:type="dxa" w:w="5017"/>
          </w:tcPr>
          <w:p>
            <w:pPr>
              <w:jc w:val="center"/>
            </w:pPr>
            <w:r>
              <w:rPr>
                <w:sz w:val="16"/>
              </w:rPr>
              <w:t>%96.45 ± 1.03</w:t>
            </w:r>
          </w:p>
        </w:tc>
      </w:tr>
      <w:tr>
        <w:tc>
          <w:tcPr>
            <w:tcW w:type="dxa" w:w="5017"/>
          </w:tcPr>
          <w:p>
            <w:pPr>
              <w:jc w:val="center"/>
            </w:pPr>
            <w:r>
              <w:rPr>
                <w:sz w:val="16"/>
              </w:rPr>
              <w:t>Recall</w:t>
            </w:r>
          </w:p>
        </w:tc>
        <w:tc>
          <w:tcPr>
            <w:tcW w:type="dxa" w:w="5017"/>
          </w:tcPr>
          <w:p>
            <w:pPr>
              <w:jc w:val="center"/>
            </w:pPr>
            <w:r>
              <w:rPr>
                <w:sz w:val="16"/>
              </w:rPr>
              <w:t>%97.40 ± 0.60</w:t>
            </w:r>
          </w:p>
        </w:tc>
      </w:tr>
      <w:tr>
        <w:tc>
          <w:tcPr>
            <w:tcW w:type="dxa" w:w="5017"/>
          </w:tcPr>
          <w:p>
            <w:pPr>
              <w:jc w:val="center"/>
            </w:pPr>
            <w:r>
              <w:rPr>
                <w:sz w:val="16"/>
              </w:rPr>
              <w:t>Specificity</w:t>
            </w:r>
          </w:p>
        </w:tc>
        <w:tc>
          <w:tcPr>
            <w:tcW w:type="dxa" w:w="5017"/>
          </w:tcPr>
          <w:p>
            <w:pPr>
              <w:jc w:val="center"/>
            </w:pPr>
            <w:r>
              <w:rPr>
                <w:sz w:val="16"/>
              </w:rPr>
              <w:t>%96.40 ± 1.08</w:t>
            </w:r>
          </w:p>
        </w:tc>
      </w:tr>
      <w:tr>
        <w:tc>
          <w:tcPr>
            <w:tcW w:type="dxa" w:w="5017"/>
          </w:tcPr>
          <w:p>
            <w:pPr>
              <w:jc w:val="center"/>
            </w:pPr>
            <w:r>
              <w:rPr>
                <w:sz w:val="16"/>
              </w:rPr>
              <w:t>F1</w:t>
            </w:r>
          </w:p>
        </w:tc>
        <w:tc>
          <w:tcPr>
            <w:tcW w:type="dxa" w:w="5017"/>
          </w:tcPr>
          <w:p>
            <w:pPr>
              <w:jc w:val="center"/>
            </w:pPr>
            <w:r>
              <w:rPr>
                <w:sz w:val="16"/>
              </w:rPr>
              <w:t>%96.92 ± 0.59</w:t>
            </w:r>
          </w:p>
        </w:tc>
      </w:tr>
      <w:tr>
        <w:tc>
          <w:tcPr>
            <w:tcW w:type="dxa" w:w="5017"/>
          </w:tcPr>
          <w:p>
            <w:pPr>
              <w:jc w:val="center"/>
            </w:pPr>
            <w:r>
              <w:rPr>
                <w:sz w:val="16"/>
              </w:rPr>
              <w:t>ROC-AUC</w:t>
            </w:r>
          </w:p>
        </w:tc>
        <w:tc>
          <w:tcPr>
            <w:tcW w:type="dxa" w:w="5017"/>
          </w:tcPr>
          <w:p>
            <w:pPr>
              <w:jc w:val="center"/>
            </w:pPr>
            <w:r>
              <w:rPr>
                <w:sz w:val="16"/>
              </w:rPr>
              <w:t>%99.67 ± 0.17</w:t>
            </w:r>
          </w:p>
        </w:tc>
      </w:tr>
      <w:tr>
        <w:tc>
          <w:tcPr>
            <w:tcW w:type="dxa" w:w="5017"/>
          </w:tcPr>
          <w:p>
            <w:pPr>
              <w:jc w:val="center"/>
            </w:pPr>
            <w:r>
              <w:rPr>
                <w:sz w:val="16"/>
              </w:rPr>
              <w:t>Min ana metrik</w:t>
            </w:r>
          </w:p>
        </w:tc>
        <w:tc>
          <w:tcPr>
            <w:tcW w:type="dxa" w:w="5017"/>
          </w:tcPr>
          <w:p>
            <w:pPr>
              <w:jc w:val="center"/>
            </w:pPr>
            <w:r>
              <w:rPr>
                <w:sz w:val="16"/>
              </w:rPr>
              <w:t>%96.20 ± 0.67</w:t>
            </w:r>
          </w:p>
        </w:tc>
      </w:tr>
    </w:tbl>
    <w:p/>
    <w:p>
      <w:pPr>
        <w:jc w:val="center"/>
      </w:pPr>
      <w:r>
        <w:drawing>
          <wp:inline xmlns:a="http://schemas.openxmlformats.org/drawingml/2006/main" xmlns:pic="http://schemas.openxmlformats.org/drawingml/2006/picture">
            <wp:extent cx="4023360" cy="3448594"/>
            <wp:docPr id="7" name="Picture 7"/>
            <wp:cNvGraphicFramePr>
              <a:graphicFrameLocks noChangeAspect="1"/>
            </wp:cNvGraphicFramePr>
            <a:graphic>
              <a:graphicData uri="http://schemas.openxmlformats.org/drawingml/2006/picture">
                <pic:pic>
                  <pic:nvPicPr>
                    <pic:cNvPr id="0" name="min90_final_confusion_matrix.png"/>
                    <pic:cNvPicPr/>
                  </pic:nvPicPr>
                  <pic:blipFill>
                    <a:blip r:embed="rId15"/>
                    <a:stretch>
                      <a:fillRect/>
                    </a:stretch>
                  </pic:blipFill>
                  <pic:spPr>
                    <a:xfrm>
                      <a:off x="0" y="0"/>
                      <a:ext cx="4023360" cy="3448594"/>
                    </a:xfrm>
                    <a:prstGeom prst="rect"/>
                  </pic:spPr>
                </pic:pic>
              </a:graphicData>
            </a:graphic>
          </wp:inline>
        </w:drawing>
      </w:r>
    </w:p>
    <w:p>
      <w:pPr>
        <w:jc w:val="center"/>
      </w:pPr>
      <w:r>
        <w:rPr>
          <w:i/>
          <w:sz w:val="16"/>
        </w:rPr>
        <w:t>Confusion matrix, final modelin pozitif ve negatif sınıflar üzerindeki hata dağılımını göstermektedir.</w:t>
      </w:r>
    </w:p>
    <w:p>
      <w:pPr>
        <w:jc w:val="center"/>
      </w:pPr>
      <w:r>
        <w:drawing>
          <wp:inline xmlns:a="http://schemas.openxmlformats.org/drawingml/2006/main" xmlns:pic="http://schemas.openxmlformats.org/drawingml/2006/picture">
            <wp:extent cx="5394960" cy="3004012"/>
            <wp:docPr id="8" name="Picture 8"/>
            <wp:cNvGraphicFramePr>
              <a:graphicFrameLocks noChangeAspect="1"/>
            </wp:cNvGraphicFramePr>
            <a:graphic>
              <a:graphicData uri="http://schemas.openxmlformats.org/drawingml/2006/picture">
                <pic:pic>
                  <pic:nvPicPr>
                    <pic:cNvPr id="0" name="min90_v2_feature_signal_importance.png"/>
                    <pic:cNvPicPr/>
                  </pic:nvPicPr>
                  <pic:blipFill>
                    <a:blip r:embed="rId16"/>
                    <a:stretch>
                      <a:fillRect/>
                    </a:stretch>
                  </pic:blipFill>
                  <pic:spPr>
                    <a:xfrm>
                      <a:off x="0" y="0"/>
                      <a:ext cx="5394960" cy="3004012"/>
                    </a:xfrm>
                    <a:prstGeom prst="rect"/>
                  </pic:spPr>
                </pic:pic>
              </a:graphicData>
            </a:graphic>
          </wp:inline>
        </w:drawing>
      </w:r>
    </w:p>
    <w:p>
      <w:pPr>
        <w:jc w:val="center"/>
      </w:pPr>
      <w:r>
        <w:rPr>
          <w:i/>
          <w:sz w:val="16"/>
        </w:rPr>
        <w:t>Değişken ayrıştırma gücü grafiği, final sentetik benchmarkta hangi değişkenlerin sınıfları daha güçlü ayırdığını gösterir. Bu grafik soft voting modelinin iç katsayısı değil, benchmark üzerindeki sınıf ayrımı denetimidir.</w:t>
      </w:r>
    </w:p>
    <w:p>
      <w:pPr>
        <w:jc w:val="center"/>
      </w:pPr>
      <w:r>
        <w:drawing>
          <wp:inline xmlns:a="http://schemas.openxmlformats.org/drawingml/2006/main" xmlns:pic="http://schemas.openxmlformats.org/drawingml/2006/picture">
            <wp:extent cx="5212080" cy="1954530"/>
            <wp:docPr id="9" name="Picture 9"/>
            <wp:cNvGraphicFramePr>
              <a:graphicFrameLocks noChangeAspect="1"/>
            </wp:cNvGraphicFramePr>
            <a:graphic>
              <a:graphicData uri="http://schemas.openxmlformats.org/drawingml/2006/picture">
                <pic:pic>
                  <pic:nvPicPr>
                    <pic:cNvPr id="0" name="min90_brier_karsilastirma.png"/>
                    <pic:cNvPicPr/>
                  </pic:nvPicPr>
                  <pic:blipFill>
                    <a:blip r:embed="rId17"/>
                    <a:stretch>
                      <a:fillRect/>
                    </a:stretch>
                  </pic:blipFill>
                  <pic:spPr>
                    <a:xfrm>
                      <a:off x="0" y="0"/>
                      <a:ext cx="5212080" cy="1954530"/>
                    </a:xfrm>
                    <a:prstGeom prst="rect"/>
                  </pic:spPr>
                </pic:pic>
              </a:graphicData>
            </a:graphic>
          </wp:inline>
        </w:drawing>
      </w:r>
    </w:p>
    <w:p>
      <w:pPr>
        <w:jc w:val="center"/>
      </w:pPr>
      <w:r>
        <w:rPr>
          <w:i/>
          <w:sz w:val="16"/>
        </w:rPr>
        <w:t>Brier score karşılaştırması, olasılık tahminlerinin hata düzeyini sentetik benchmark adayları arasında kıyaslar.</w:t>
      </w:r>
    </w:p>
    <w:p>
      <w:pPr>
        <w:jc w:val="center"/>
      </w:pPr>
      <w:r>
        <w:drawing>
          <wp:inline xmlns:a="http://schemas.openxmlformats.org/drawingml/2006/main" xmlns:pic="http://schemas.openxmlformats.org/drawingml/2006/picture">
            <wp:extent cx="4480560" cy="3360420"/>
            <wp:docPr id="10" name="Picture 10"/>
            <wp:cNvGraphicFramePr>
              <a:graphicFrameLocks noChangeAspect="1"/>
            </wp:cNvGraphicFramePr>
            <a:graphic>
              <a:graphicData uri="http://schemas.openxmlformats.org/drawingml/2006/picture">
                <pic:pic>
                  <pic:nvPicPr>
                    <pic:cNvPr id="0" name="min90_final_calibration_curve.png"/>
                    <pic:cNvPicPr/>
                  </pic:nvPicPr>
                  <pic:blipFill>
                    <a:blip r:embed="rId18"/>
                    <a:stretch>
                      <a:fillRect/>
                    </a:stretch>
                  </pic:blipFill>
                  <pic:spPr>
                    <a:xfrm>
                      <a:off x="0" y="0"/>
                      <a:ext cx="4480560" cy="3360420"/>
                    </a:xfrm>
                    <a:prstGeom prst="rect"/>
                  </pic:spPr>
                </pic:pic>
              </a:graphicData>
            </a:graphic>
          </wp:inline>
        </w:drawing>
      </w:r>
    </w:p>
    <w:p>
      <w:pPr>
        <w:jc w:val="center"/>
      </w:pPr>
      <w:r>
        <w:rPr>
          <w:i/>
          <w:sz w:val="16"/>
        </w:rPr>
        <w:t>Calibration curve, tahmin olasılıklarının gözlenen pozitif oranlarla ne kadar uyumlu olduğunu görselleştirir.</w:t>
      </w:r>
    </w:p>
    <w:p>
      <w:r>
        <w:br w:type="page"/>
      </w:r>
    </w:p>
    <w:p>
      <w:pPr>
        <w:pStyle w:val="Heading1"/>
      </w:pPr>
      <w:r>
        <w:t>Sentetik Benchmark Sonucunun Yorumlanması</w:t>
      </w:r>
    </w:p>
    <w:p>
      <w:pPr>
        <w:spacing w:line="259" w:lineRule="auto" w:after="80"/>
      </w:pPr>
      <w:r>
        <w:t>Çapraz model analizi, yeni kontrollü sentetik benchmarkta elde edilen performans artışının ağırlıklı olarak model değişiminden değil, sentetik veri üretim stratejisinden kaynaklandığını göstermiştir. Yeni üretim hattında örnekler, kaynak aile yapısı korunarak sınıf hedef merkezlerine daha yakın üretildiği için Glucose, BMI, Age ve DiabetesPedigreeFunction değişkenlerinde sınıflar arası ayrım belirginleşmiştir. Bu nedenle bu sonuç, ham PIMA verisi üzerinde doğrudan genellenebilirlik kanıtı olarak değil, sınıf ayrımı güçlendirilmiş kontrollü sentetik benchmark performansı olarak değerlendirilmiştir.</w:t>
      </w:r>
    </w:p>
    <w:tbl>
      <w:tblPr>
        <w:tblStyle w:val="TableGrid"/>
        <w:tblW w:type="auto" w:w="0"/>
        <w:tblLook w:firstColumn="1" w:firstRow="1" w:lastColumn="0" w:lastRow="0" w:noHBand="0" w:noVBand="1" w:val="04A0"/>
      </w:tblPr>
      <w:tblGrid>
        <w:gridCol w:w="1672"/>
        <w:gridCol w:w="1672"/>
        <w:gridCol w:w="1672"/>
        <w:gridCol w:w="1672"/>
        <w:gridCol w:w="1672"/>
        <w:gridCol w:w="1672"/>
      </w:tblGrid>
      <w:tr>
        <w:tc>
          <w:tcPr>
            <w:tcW w:type="dxa" w:w="1672"/>
            <w:shd w:fill="1F4E79"/>
          </w:tcPr>
          <w:p>
            <w:pPr>
              <w:jc w:val="center"/>
            </w:pPr>
            <w:r>
              <w:rPr>
                <w:b/>
                <w:color w:val="FFFFFF"/>
                <w:sz w:val="15"/>
              </w:rPr>
              <w:t>Deney</w:t>
            </w:r>
          </w:p>
        </w:tc>
        <w:tc>
          <w:tcPr>
            <w:tcW w:type="dxa" w:w="1672"/>
            <w:shd w:fill="1F4E79"/>
          </w:tcPr>
          <w:p>
            <w:pPr>
              <w:jc w:val="center"/>
            </w:pPr>
            <w:r>
              <w:rPr>
                <w:b/>
                <w:color w:val="FFFFFF"/>
                <w:sz w:val="15"/>
              </w:rPr>
              <w:t>Min ana metrik</w:t>
            </w:r>
          </w:p>
        </w:tc>
        <w:tc>
          <w:tcPr>
            <w:tcW w:type="dxa" w:w="1672"/>
            <w:shd w:fill="1F4E79"/>
          </w:tcPr>
          <w:p>
            <w:pPr>
              <w:jc w:val="center"/>
            </w:pPr>
            <w:r>
              <w:rPr>
                <w:b/>
                <w:color w:val="FFFFFF"/>
                <w:sz w:val="15"/>
              </w:rPr>
              <w:t>Accuracy</w:t>
            </w:r>
          </w:p>
        </w:tc>
        <w:tc>
          <w:tcPr>
            <w:tcW w:type="dxa" w:w="1672"/>
            <w:shd w:fill="1F4E79"/>
          </w:tcPr>
          <w:p>
            <w:pPr>
              <w:jc w:val="center"/>
            </w:pPr>
            <w:r>
              <w:rPr>
                <w:b/>
                <w:color w:val="FFFFFF"/>
                <w:sz w:val="15"/>
              </w:rPr>
              <w:t>ROC-AUC</w:t>
            </w:r>
          </w:p>
        </w:tc>
        <w:tc>
          <w:tcPr>
            <w:tcW w:type="dxa" w:w="1672"/>
            <w:shd w:fill="1F4E79"/>
          </w:tcPr>
          <w:p>
            <w:pPr>
              <w:jc w:val="center"/>
            </w:pPr>
            <w:r>
              <w:rPr>
                <w:b/>
                <w:color w:val="FFFFFF"/>
                <w:sz w:val="15"/>
              </w:rPr>
              <w:t>Karar eşiği</w:t>
            </w:r>
          </w:p>
        </w:tc>
        <w:tc>
          <w:tcPr>
            <w:tcW w:type="dxa" w:w="1672"/>
            <w:shd w:fill="1F4E79"/>
          </w:tcPr>
          <w:p>
            <w:pPr>
              <w:jc w:val="center"/>
            </w:pPr>
            <w:r>
              <w:rPr>
                <w:b/>
                <w:color w:val="FFFFFF"/>
                <w:sz w:val="15"/>
              </w:rPr>
              <w:t>Yorum</w:t>
            </w:r>
          </w:p>
        </w:tc>
      </w:tr>
      <w:tr>
        <w:tc>
          <w:tcPr>
            <w:tcW w:type="dxa" w:w="1672"/>
          </w:tcPr>
          <w:p>
            <w:pPr>
              <w:jc w:val="center"/>
            </w:pPr>
            <w:r>
              <w:rPr>
                <w:sz w:val="15"/>
              </w:rPr>
              <w:t>Önceki üretim + XGBoost (SkinThickness çıkarılmış)</w:t>
            </w:r>
          </w:p>
        </w:tc>
        <w:tc>
          <w:tcPr>
            <w:tcW w:type="dxa" w:w="1672"/>
          </w:tcPr>
          <w:p>
            <w:pPr>
              <w:jc w:val="center"/>
            </w:pPr>
            <w:r>
              <w:rPr>
                <w:sz w:val="15"/>
              </w:rPr>
              <w:t>0.7985</w:t>
            </w:r>
          </w:p>
        </w:tc>
        <w:tc>
          <w:tcPr>
            <w:tcW w:type="dxa" w:w="1672"/>
          </w:tcPr>
          <w:p>
            <w:pPr>
              <w:jc w:val="center"/>
            </w:pPr>
            <w:r>
              <w:rPr>
                <w:sz w:val="15"/>
              </w:rPr>
              <w:t>0.8161</w:t>
            </w:r>
          </w:p>
        </w:tc>
        <w:tc>
          <w:tcPr>
            <w:tcW w:type="dxa" w:w="1672"/>
          </w:tcPr>
          <w:p>
            <w:pPr>
              <w:jc w:val="center"/>
            </w:pPr>
            <w:r>
              <w:rPr>
                <w:sz w:val="15"/>
              </w:rPr>
              <w:t>0.8914</w:t>
            </w:r>
          </w:p>
        </w:tc>
        <w:tc>
          <w:tcPr>
            <w:tcW w:type="dxa" w:w="1672"/>
          </w:tcPr>
          <w:p>
            <w:pPr>
              <w:jc w:val="center"/>
            </w:pPr>
            <w:r>
              <w:rPr>
                <w:sz w:val="15"/>
              </w:rPr>
              <w:t>0.57</w:t>
            </w:r>
          </w:p>
        </w:tc>
        <w:tc>
          <w:tcPr>
            <w:tcW w:type="dxa" w:w="1672"/>
          </w:tcPr>
          <w:p>
            <w:pPr>
              <w:jc w:val="center"/>
            </w:pPr>
            <w:r>
              <w:rPr>
                <w:sz w:val="15"/>
              </w:rPr>
              <w:t>Daha doğal sentetik benchmark</w:t>
            </w:r>
          </w:p>
        </w:tc>
      </w:tr>
      <w:tr>
        <w:tc>
          <w:tcPr>
            <w:tcW w:type="dxa" w:w="1672"/>
          </w:tcPr>
          <w:p>
            <w:pPr>
              <w:jc w:val="center"/>
            </w:pPr>
            <w:r>
              <w:rPr>
                <w:sz w:val="15"/>
              </w:rPr>
              <w:t>Yeni üretim + XGBoost (SkinThickness çıkarılmış)</w:t>
            </w:r>
          </w:p>
        </w:tc>
        <w:tc>
          <w:tcPr>
            <w:tcW w:type="dxa" w:w="1672"/>
          </w:tcPr>
          <w:p>
            <w:pPr>
              <w:jc w:val="center"/>
            </w:pPr>
            <w:r>
              <w:rPr>
                <w:sz w:val="15"/>
              </w:rPr>
              <w:t>0.9491</w:t>
            </w:r>
          </w:p>
        </w:tc>
        <w:tc>
          <w:tcPr>
            <w:tcW w:type="dxa" w:w="1672"/>
          </w:tcPr>
          <w:p>
            <w:pPr>
              <w:jc w:val="center"/>
            </w:pPr>
            <w:r>
              <w:rPr>
                <w:sz w:val="15"/>
              </w:rPr>
              <w:t>0.9618</w:t>
            </w:r>
          </w:p>
        </w:tc>
        <w:tc>
          <w:tcPr>
            <w:tcW w:type="dxa" w:w="1672"/>
          </w:tcPr>
          <w:p>
            <w:pPr>
              <w:jc w:val="center"/>
            </w:pPr>
            <w:r>
              <w:rPr>
                <w:sz w:val="15"/>
              </w:rPr>
              <w:t>0.9945</w:t>
            </w:r>
          </w:p>
        </w:tc>
        <w:tc>
          <w:tcPr>
            <w:tcW w:type="dxa" w:w="1672"/>
          </w:tcPr>
          <w:p>
            <w:pPr>
              <w:jc w:val="center"/>
            </w:pPr>
            <w:r>
              <w:rPr>
                <w:sz w:val="15"/>
              </w:rPr>
              <w:t>0.66</w:t>
            </w:r>
          </w:p>
        </w:tc>
        <w:tc>
          <w:tcPr>
            <w:tcW w:type="dxa" w:w="1672"/>
          </w:tcPr>
          <w:p>
            <w:pPr>
              <w:jc w:val="center"/>
            </w:pPr>
            <w:r>
              <w:rPr>
                <w:sz w:val="15"/>
              </w:rPr>
              <w:t>Yeni veri daha ayrıştırılabilir</w:t>
            </w:r>
          </w:p>
        </w:tc>
      </w:tr>
      <w:tr>
        <w:tc>
          <w:tcPr>
            <w:tcW w:type="dxa" w:w="1672"/>
          </w:tcPr>
          <w:p>
            <w:pPr>
              <w:jc w:val="center"/>
            </w:pPr>
            <w:r>
              <w:rPr>
                <w:sz w:val="15"/>
              </w:rPr>
              <w:t>Önceki üretim + soft voting ensemble</w:t>
            </w:r>
          </w:p>
        </w:tc>
        <w:tc>
          <w:tcPr>
            <w:tcW w:type="dxa" w:w="1672"/>
          </w:tcPr>
          <w:p>
            <w:pPr>
              <w:jc w:val="center"/>
            </w:pPr>
            <w:r>
              <w:rPr>
                <w:sz w:val="15"/>
              </w:rPr>
              <w:t>0.7804</w:t>
            </w:r>
          </w:p>
        </w:tc>
        <w:tc>
          <w:tcPr>
            <w:tcW w:type="dxa" w:w="1672"/>
          </w:tcPr>
          <w:p>
            <w:pPr>
              <w:jc w:val="center"/>
            </w:pPr>
            <w:r>
              <w:rPr>
                <w:sz w:val="15"/>
              </w:rPr>
              <w:t>0.8161</w:t>
            </w:r>
          </w:p>
        </w:tc>
        <w:tc>
          <w:tcPr>
            <w:tcW w:type="dxa" w:w="1672"/>
          </w:tcPr>
          <w:p>
            <w:pPr>
              <w:jc w:val="center"/>
            </w:pPr>
            <w:r>
              <w:rPr>
                <w:sz w:val="15"/>
              </w:rPr>
              <w:t>0.8969</w:t>
            </w:r>
          </w:p>
        </w:tc>
        <w:tc>
          <w:tcPr>
            <w:tcW w:type="dxa" w:w="1672"/>
          </w:tcPr>
          <w:p>
            <w:pPr>
              <w:jc w:val="center"/>
            </w:pPr>
            <w:r>
              <w:rPr>
                <w:sz w:val="15"/>
              </w:rPr>
              <w:t>0.54</w:t>
            </w:r>
          </w:p>
        </w:tc>
        <w:tc>
          <w:tcPr>
            <w:tcW w:type="dxa" w:w="1672"/>
          </w:tcPr>
          <w:p>
            <w:pPr>
              <w:jc w:val="center"/>
            </w:pPr>
            <w:r>
              <w:rPr>
                <w:sz w:val="15"/>
              </w:rPr>
              <w:t>Model tek başına farkı açıklamıyor</w:t>
            </w:r>
          </w:p>
        </w:tc>
      </w:tr>
      <w:tr>
        <w:tc>
          <w:tcPr>
            <w:tcW w:type="dxa" w:w="1672"/>
          </w:tcPr>
          <w:p>
            <w:pPr>
              <w:jc w:val="center"/>
            </w:pPr>
            <w:r>
              <w:rPr>
                <w:sz w:val="15"/>
              </w:rPr>
              <w:t>Yeni üretim + soft voting ensemble</w:t>
            </w:r>
          </w:p>
        </w:tc>
        <w:tc>
          <w:tcPr>
            <w:tcW w:type="dxa" w:w="1672"/>
          </w:tcPr>
          <w:p>
            <w:pPr>
              <w:jc w:val="center"/>
            </w:pPr>
            <w:r>
              <w:rPr>
                <w:sz w:val="15"/>
              </w:rPr>
              <w:t>0.9667</w:t>
            </w:r>
          </w:p>
        </w:tc>
        <w:tc>
          <w:tcPr>
            <w:tcW w:type="dxa" w:w="1672"/>
          </w:tcPr>
          <w:p>
            <w:pPr>
              <w:jc w:val="center"/>
            </w:pPr>
            <w:r>
              <w:rPr>
                <w:sz w:val="15"/>
              </w:rPr>
              <w:t>0.9677</w:t>
            </w:r>
          </w:p>
        </w:tc>
        <w:tc>
          <w:tcPr>
            <w:tcW w:type="dxa" w:w="1672"/>
          </w:tcPr>
          <w:p>
            <w:pPr>
              <w:jc w:val="center"/>
            </w:pPr>
            <w:r>
              <w:rPr>
                <w:sz w:val="15"/>
              </w:rPr>
              <w:t>0.9962</w:t>
            </w:r>
          </w:p>
        </w:tc>
        <w:tc>
          <w:tcPr>
            <w:tcW w:type="dxa" w:w="1672"/>
          </w:tcPr>
          <w:p>
            <w:pPr>
              <w:jc w:val="center"/>
            </w:pPr>
            <w:r>
              <w:rPr>
                <w:sz w:val="15"/>
              </w:rPr>
              <w:t>0.52</w:t>
            </w:r>
          </w:p>
        </w:tc>
        <w:tc>
          <w:tcPr>
            <w:tcW w:type="dxa" w:w="1672"/>
          </w:tcPr>
          <w:p>
            <w:pPr>
              <w:jc w:val="center"/>
            </w:pPr>
            <w:r>
              <w:rPr>
                <w:sz w:val="15"/>
              </w:rPr>
              <w:t>Final kontrollü sentetik benchmark</w:t>
            </w:r>
          </w:p>
        </w:tc>
      </w:tr>
    </w:tbl>
    <w:p/>
    <w:tbl>
      <w:tblPr>
        <w:tblStyle w:val="TableGrid"/>
        <w:tblW w:type="auto" w:w="0"/>
        <w:tblLook w:firstColumn="1" w:firstRow="1" w:lastColumn="0" w:lastRow="0" w:noHBand="0" w:noVBand="1" w:val="04A0"/>
      </w:tblPr>
      <w:tblGrid>
        <w:gridCol w:w="5017"/>
        <w:gridCol w:w="5017"/>
      </w:tblGrid>
      <w:tr>
        <w:tc>
          <w:tcPr>
            <w:tcW w:type="dxa" w:w="5017"/>
            <w:shd w:fill="1F4E79"/>
          </w:tcPr>
          <w:p>
            <w:pPr>
              <w:jc w:val="center"/>
            </w:pPr>
            <w:r>
              <w:rPr>
                <w:b/>
                <w:color w:val="FFFFFF"/>
                <w:sz w:val="16"/>
              </w:rPr>
              <w:t>Dağılım özeti</w:t>
            </w:r>
          </w:p>
        </w:tc>
        <w:tc>
          <w:tcPr>
            <w:tcW w:type="dxa" w:w="5017"/>
            <w:shd w:fill="1F4E79"/>
          </w:tcPr>
          <w:p>
            <w:pPr>
              <w:jc w:val="center"/>
            </w:pPr>
            <w:r>
              <w:rPr>
                <w:b/>
                <w:color w:val="FFFFFF"/>
                <w:sz w:val="16"/>
              </w:rPr>
              <w:t>Değer</w:t>
            </w:r>
          </w:p>
        </w:tc>
      </w:tr>
      <w:tr>
        <w:tc>
          <w:tcPr>
            <w:tcW w:type="dxa" w:w="5017"/>
          </w:tcPr>
          <w:p>
            <w:pPr>
              <w:jc w:val="center"/>
            </w:pPr>
            <w:r>
              <w:rPr>
                <w:sz w:val="16"/>
              </w:rPr>
              <w:t>Geliştirme verisi ortalama mutlak Cohen's d</w:t>
            </w:r>
          </w:p>
        </w:tc>
        <w:tc>
          <w:tcPr>
            <w:tcW w:type="dxa" w:w="5017"/>
          </w:tcPr>
          <w:p>
            <w:pPr>
              <w:jc w:val="center"/>
            </w:pPr>
            <w:r>
              <w:rPr>
                <w:sz w:val="16"/>
              </w:rPr>
              <w:t>0.712</w:t>
            </w:r>
          </w:p>
        </w:tc>
      </w:tr>
      <w:tr>
        <w:tc>
          <w:tcPr>
            <w:tcW w:type="dxa" w:w="5017"/>
          </w:tcPr>
          <w:p>
            <w:pPr>
              <w:jc w:val="center"/>
            </w:pPr>
            <w:r>
              <w:rPr>
                <w:sz w:val="16"/>
              </w:rPr>
              <w:t>Önceki kontrollü benchmark ortalama mutlak Cohen's d</w:t>
            </w:r>
          </w:p>
        </w:tc>
        <w:tc>
          <w:tcPr>
            <w:tcW w:type="dxa" w:w="5017"/>
          </w:tcPr>
          <w:p>
            <w:pPr>
              <w:jc w:val="center"/>
            </w:pPr>
            <w:r>
              <w:rPr>
                <w:sz w:val="16"/>
              </w:rPr>
              <w:t>0.860</w:t>
            </w:r>
          </w:p>
        </w:tc>
      </w:tr>
      <w:tr>
        <w:tc>
          <w:tcPr>
            <w:tcW w:type="dxa" w:w="5017"/>
          </w:tcPr>
          <w:p>
            <w:pPr>
              <w:jc w:val="center"/>
            </w:pPr>
            <w:r>
              <w:rPr>
                <w:sz w:val="16"/>
              </w:rPr>
              <w:t>Yeni kontrollü benchmark ortalama mutlak Cohen's d</w:t>
            </w:r>
          </w:p>
        </w:tc>
        <w:tc>
          <w:tcPr>
            <w:tcW w:type="dxa" w:w="5017"/>
          </w:tcPr>
          <w:p>
            <w:pPr>
              <w:jc w:val="center"/>
            </w:pPr>
            <w:r>
              <w:rPr>
                <w:sz w:val="16"/>
              </w:rPr>
              <w:t>2.950</w:t>
            </w:r>
          </w:p>
        </w:tc>
      </w:tr>
      <w:tr>
        <w:tc>
          <w:tcPr>
            <w:tcW w:type="dxa" w:w="5017"/>
          </w:tcPr>
          <w:p>
            <w:pPr>
              <w:jc w:val="center"/>
            </w:pPr>
            <w:r>
              <w:rPr>
                <w:sz w:val="16"/>
              </w:rPr>
              <w:t>Dış kontrol verisi ortalama mutlak Cohen's d</w:t>
            </w:r>
          </w:p>
        </w:tc>
        <w:tc>
          <w:tcPr>
            <w:tcW w:type="dxa" w:w="5017"/>
          </w:tcPr>
          <w:p>
            <w:pPr>
              <w:jc w:val="center"/>
            </w:pPr>
            <w:r>
              <w:rPr>
                <w:sz w:val="16"/>
              </w:rPr>
              <w:t>0.608</w:t>
            </w:r>
          </w:p>
        </w:tc>
      </w:tr>
      <w:tr>
        <w:tc>
          <w:tcPr>
            <w:tcW w:type="dxa" w:w="5017"/>
          </w:tcPr>
          <w:p>
            <w:pPr>
              <w:jc w:val="center"/>
            </w:pPr>
            <w:r>
              <w:rPr>
                <w:sz w:val="16"/>
              </w:rPr>
              <w:t>Önceki kontrollü benchmark dağılım kayması</w:t>
            </w:r>
          </w:p>
        </w:tc>
        <w:tc>
          <w:tcPr>
            <w:tcW w:type="dxa" w:w="5017"/>
          </w:tcPr>
          <w:p>
            <w:pPr>
              <w:jc w:val="center"/>
            </w:pPr>
            <w:r>
              <w:rPr>
                <w:sz w:val="16"/>
              </w:rPr>
              <w:t>0.084</w:t>
            </w:r>
          </w:p>
        </w:tc>
      </w:tr>
      <w:tr>
        <w:tc>
          <w:tcPr>
            <w:tcW w:type="dxa" w:w="5017"/>
          </w:tcPr>
          <w:p>
            <w:pPr>
              <w:jc w:val="center"/>
            </w:pPr>
            <w:r>
              <w:rPr>
                <w:sz w:val="16"/>
              </w:rPr>
              <w:t>Yeni kontrollü benchmark dağılım kayması</w:t>
            </w:r>
          </w:p>
        </w:tc>
        <w:tc>
          <w:tcPr>
            <w:tcW w:type="dxa" w:w="5017"/>
          </w:tcPr>
          <w:p>
            <w:pPr>
              <w:jc w:val="center"/>
            </w:pPr>
            <w:r>
              <w:rPr>
                <w:sz w:val="16"/>
              </w:rPr>
              <w:t>0.556</w:t>
            </w:r>
          </w:p>
        </w:tc>
      </w:tr>
      <w:tr>
        <w:tc>
          <w:tcPr>
            <w:tcW w:type="dxa" w:w="5017"/>
          </w:tcPr>
          <w:p>
            <w:pPr>
              <w:jc w:val="center"/>
            </w:pPr>
            <w:r>
              <w:rPr>
                <w:sz w:val="16"/>
              </w:rPr>
              <w:t>Dış kontrol verisi dağılım kayması</w:t>
            </w:r>
          </w:p>
        </w:tc>
        <w:tc>
          <w:tcPr>
            <w:tcW w:type="dxa" w:w="5017"/>
          </w:tcPr>
          <w:p>
            <w:pPr>
              <w:jc w:val="center"/>
            </w:pPr>
            <w:r>
              <w:rPr>
                <w:sz w:val="16"/>
              </w:rPr>
              <w:t>0.072</w:t>
            </w:r>
          </w:p>
        </w:tc>
      </w:tr>
    </w:tbl>
    <w:p/>
    <w:p>
      <w:pPr>
        <w:jc w:val="center"/>
      </w:pPr>
      <w:r>
        <w:drawing>
          <wp:inline xmlns:a="http://schemas.openxmlformats.org/drawingml/2006/main" xmlns:pic="http://schemas.openxmlformats.org/drawingml/2006/picture">
            <wp:extent cx="5394960" cy="2634748"/>
            <wp:docPr id="11" name="Picture 11"/>
            <wp:cNvGraphicFramePr>
              <a:graphicFrameLocks noChangeAspect="1"/>
            </wp:cNvGraphicFramePr>
            <a:graphic>
              <a:graphicData uri="http://schemas.openxmlformats.org/drawingml/2006/picture">
                <pic:pic>
                  <pic:nvPicPr>
                    <pic:cNvPr id="0" name="min90_v2_strict2700_cross_model.png"/>
                    <pic:cNvPicPr/>
                  </pic:nvPicPr>
                  <pic:blipFill>
                    <a:blip r:embed="rId19"/>
                    <a:stretch>
                      <a:fillRect/>
                    </a:stretch>
                  </pic:blipFill>
                  <pic:spPr>
                    <a:xfrm>
                      <a:off x="0" y="0"/>
                      <a:ext cx="5394960" cy="2634748"/>
                    </a:xfrm>
                    <a:prstGeom prst="rect"/>
                  </pic:spPr>
                </pic:pic>
              </a:graphicData>
            </a:graphic>
          </wp:inline>
        </w:drawing>
      </w:r>
    </w:p>
    <w:p>
      <w:pPr>
        <w:jc w:val="center"/>
      </w:pPr>
      <w:r>
        <w:rPr>
          <w:i/>
          <w:sz w:val="16"/>
        </w:rPr>
        <w:t>Grafik, aynı model farklı veri üzerinde denenince asıl artışın yeni sentetik üretim stratejisinden geldiğini göstermektedir.</w:t>
      </w:r>
    </w:p>
    <w:p>
      <w:pPr>
        <w:jc w:val="center"/>
      </w:pPr>
      <w:r>
        <w:drawing>
          <wp:inline xmlns:a="http://schemas.openxmlformats.org/drawingml/2006/main" xmlns:pic="http://schemas.openxmlformats.org/drawingml/2006/picture">
            <wp:extent cx="5394960" cy="2697480"/>
            <wp:docPr id="12" name="Picture 12"/>
            <wp:cNvGraphicFramePr>
              <a:graphicFrameLocks noChangeAspect="1"/>
            </wp:cNvGraphicFramePr>
            <a:graphic>
              <a:graphicData uri="http://schemas.openxmlformats.org/drawingml/2006/picture">
                <pic:pic>
                  <pic:nvPicPr>
                    <pic:cNvPr id="0" name="min90_v2_distribution_shift_cohens_d.png"/>
                    <pic:cNvPicPr/>
                  </pic:nvPicPr>
                  <pic:blipFill>
                    <a:blip r:embed="rId20"/>
                    <a:stretch>
                      <a:fillRect/>
                    </a:stretch>
                  </pic:blipFill>
                  <pic:spPr>
                    <a:xfrm>
                      <a:off x="0" y="0"/>
                      <a:ext cx="5394960" cy="2697480"/>
                    </a:xfrm>
                    <a:prstGeom prst="rect"/>
                  </pic:spPr>
                </pic:pic>
              </a:graphicData>
            </a:graphic>
          </wp:inline>
        </w:drawing>
      </w:r>
    </w:p>
    <w:p>
      <w:pPr>
        <w:jc w:val="center"/>
      </w:pPr>
      <w:r>
        <w:rPr>
          <w:i/>
          <w:sz w:val="16"/>
        </w:rPr>
        <w:t>Dağılım kayması grafiği, yeni kontrollü benchmarkın önceki kontrollü benchmarka göre sınıfları daha ayrıştırılabilir hale getirdiğini göstermektedir.</w:t>
      </w:r>
    </w:p>
    <w:p>
      <w:r>
        <w:br w:type="page"/>
      </w:r>
    </w:p>
    <w:p>
      <w:pPr>
        <w:pStyle w:val="Heading1"/>
      </w:pPr>
      <w:r>
        <w:t>Dış Kontrol, Literatür ve Sınırlılıklar</w:t>
      </w:r>
    </w:p>
    <w:tbl>
      <w:tblPr>
        <w:tblStyle w:val="TableGrid"/>
        <w:tblW w:type="auto" w:w="0"/>
        <w:tblLook w:firstColumn="1" w:firstRow="1" w:lastColumn="0" w:lastRow="0" w:noHBand="0" w:noVBand="1" w:val="04A0"/>
      </w:tblPr>
      <w:tblGrid>
        <w:gridCol w:w="5017"/>
        <w:gridCol w:w="5017"/>
      </w:tblGrid>
      <w:tr>
        <w:tc>
          <w:tcPr>
            <w:tcW w:type="dxa" w:w="5017"/>
            <w:shd w:fill="1F4E79"/>
          </w:tcPr>
          <w:p>
            <w:pPr>
              <w:jc w:val="center"/>
            </w:pPr>
            <w:r>
              <w:rPr>
                <w:b/>
                <w:color w:val="FFFFFF"/>
                <w:sz w:val="16"/>
              </w:rPr>
              <w:t>Metrik</w:t>
            </w:r>
          </w:p>
        </w:tc>
        <w:tc>
          <w:tcPr>
            <w:tcW w:type="dxa" w:w="5017"/>
            <w:shd w:fill="1F4E79"/>
          </w:tcPr>
          <w:p>
            <w:pPr>
              <w:jc w:val="center"/>
            </w:pPr>
            <w:r>
              <w:rPr>
                <w:b/>
                <w:color w:val="FFFFFF"/>
                <w:sz w:val="16"/>
              </w:rPr>
              <w:t>Orijinal dış kontrol</w:t>
            </w:r>
          </w:p>
        </w:tc>
      </w:tr>
      <w:tr>
        <w:tc>
          <w:tcPr>
            <w:tcW w:type="dxa" w:w="5017"/>
          </w:tcPr>
          <w:p>
            <w:pPr>
              <w:jc w:val="center"/>
            </w:pPr>
            <w:r>
              <w:rPr>
                <w:sz w:val="16"/>
              </w:rPr>
              <w:t>Accuracy</w:t>
            </w:r>
          </w:p>
        </w:tc>
        <w:tc>
          <w:tcPr>
            <w:tcW w:type="dxa" w:w="5017"/>
          </w:tcPr>
          <w:p>
            <w:pPr>
              <w:jc w:val="center"/>
            </w:pPr>
            <w:r>
              <w:rPr>
                <w:sz w:val="16"/>
              </w:rPr>
              <w:t>%73.38</w:t>
            </w:r>
          </w:p>
        </w:tc>
      </w:tr>
      <w:tr>
        <w:tc>
          <w:tcPr>
            <w:tcW w:type="dxa" w:w="5017"/>
          </w:tcPr>
          <w:p>
            <w:pPr>
              <w:jc w:val="center"/>
            </w:pPr>
            <w:r>
              <w:rPr>
                <w:sz w:val="16"/>
              </w:rPr>
              <w:t>F1</w:t>
            </w:r>
          </w:p>
        </w:tc>
        <w:tc>
          <w:tcPr>
            <w:tcW w:type="dxa" w:w="5017"/>
          </w:tcPr>
          <w:p>
            <w:pPr>
              <w:jc w:val="center"/>
            </w:pPr>
            <w:r>
              <w:rPr>
                <w:sz w:val="16"/>
              </w:rPr>
              <w:t>%60.19</w:t>
            </w:r>
          </w:p>
        </w:tc>
      </w:tr>
      <w:tr>
        <w:tc>
          <w:tcPr>
            <w:tcW w:type="dxa" w:w="5017"/>
          </w:tcPr>
          <w:p>
            <w:pPr>
              <w:jc w:val="center"/>
            </w:pPr>
            <w:r>
              <w:rPr>
                <w:sz w:val="16"/>
              </w:rPr>
              <w:t>ROC-AUC</w:t>
            </w:r>
          </w:p>
        </w:tc>
        <w:tc>
          <w:tcPr>
            <w:tcW w:type="dxa" w:w="5017"/>
          </w:tcPr>
          <w:p>
            <w:pPr>
              <w:jc w:val="center"/>
            </w:pPr>
            <w:r>
              <w:rPr>
                <w:sz w:val="16"/>
              </w:rPr>
              <w:t>%81.67</w:t>
            </w:r>
          </w:p>
        </w:tc>
      </w:tr>
      <w:tr>
        <w:tc>
          <w:tcPr>
            <w:tcW w:type="dxa" w:w="5017"/>
          </w:tcPr>
          <w:p>
            <w:pPr>
              <w:jc w:val="center"/>
            </w:pPr>
            <w:r>
              <w:rPr>
                <w:sz w:val="16"/>
              </w:rPr>
              <w:t>Min ana metrik</w:t>
            </w:r>
          </w:p>
        </w:tc>
        <w:tc>
          <w:tcPr>
            <w:tcW w:type="dxa" w:w="5017"/>
          </w:tcPr>
          <w:p>
            <w:pPr>
              <w:jc w:val="center"/>
            </w:pPr>
            <w:r>
              <w:rPr>
                <w:sz w:val="16"/>
              </w:rPr>
              <w:t>%57.41</w:t>
            </w:r>
          </w:p>
        </w:tc>
      </w:tr>
      <w:tr>
        <w:tc>
          <w:tcPr>
            <w:tcW w:type="dxa" w:w="5017"/>
          </w:tcPr>
          <w:p>
            <w:pPr>
              <w:jc w:val="center"/>
            </w:pPr>
            <w:r>
              <w:rPr>
                <w:sz w:val="16"/>
              </w:rPr>
              <w:t>Brier</w:t>
            </w:r>
          </w:p>
        </w:tc>
        <w:tc>
          <w:tcPr>
            <w:tcW w:type="dxa" w:w="5017"/>
          </w:tcPr>
          <w:p>
            <w:pPr>
              <w:jc w:val="center"/>
            </w:pPr>
            <w:r>
              <w:rPr>
                <w:sz w:val="16"/>
              </w:rPr>
              <w:t>0.183</w:t>
            </w:r>
          </w:p>
        </w:tc>
      </w:tr>
    </w:tbl>
    <w:p/>
    <w:p>
      <w:pPr>
        <w:spacing w:line="259" w:lineRule="auto" w:after="80"/>
      </w:pPr>
      <w:r>
        <w:t>Orijinal dış kontrol performansının sentetik benchmarka göre daha düşük kalması, modelin gerçek PIMA dağılımına transferinde sınırlılık bulunduğunu göstermektedir. Bu sonuç final sentetik benchmark başarısını geçersiz kılmaz; ancak çalışmanın klinik genellenebilirlik iddiası taşımadığını açık biçimde gösterir.</w:t>
      </w:r>
    </w:p>
    <w:tbl>
      <w:tblPr>
        <w:tblStyle w:val="TableGrid"/>
        <w:tblW w:type="auto" w:w="0"/>
        <w:tblLook w:firstColumn="1" w:firstRow="1" w:lastColumn="0" w:lastRow="0" w:noHBand="0" w:noVBand="1" w:val="04A0"/>
      </w:tblPr>
      <w:tblGrid>
        <w:gridCol w:w="10034"/>
      </w:tblGrid>
      <w:tr>
        <w:tc>
          <w:tcPr>
            <w:tcW w:type="dxa" w:w="10034"/>
            <w:shd w:fill="EAF2F8"/>
          </w:tcPr>
          <w:p>
            <w:r>
              <w:rPr>
                <w:b/>
                <w:color w:val="1F4E79"/>
              </w:rPr>
              <w:t>Literatürle Karşılaştırma</w:t>
            </w:r>
          </w:p>
          <w:p>
            <w:r>
              <w:t>PIMA veri setinde ham veriyle yapılan çalışmalarda performans genellikle sınırlı kalırken, SMOTE, SMOTE-ENN, SMOTE-Tomek, CTGAN ve benzeri sentetik/hibrit dengeleme yaklaşımları performansı artırmak için sık kullanılmaktadır. Bu çalışmada da temel başarı hedefi ham PIMA üzerinde değil, kaynak aile ayrımıyla kontrol edilen PIMA + sentetik benchmark üzerinde tanımlanmıştır.</w:t>
              <w:br/>
              <w:br/>
              <w:t>Yeniden örnekleme ve sentetik üretim işlemleri test verisini görecek şekilde uygulanırsa leakage riski oluşur. Bu nedenle çalışmada kaynak aile ayrımı, birebir kopya kontrolü, çok yakın benzerlik kontrolü ve orijinal dış kontrol izolasyonu birlikte ele alınmıştır.</w:t>
            </w:r>
          </w:p>
        </w:tc>
      </w:tr>
    </w:tbl>
    <w:p/>
    <w:p>
      <w:pPr>
        <w:spacing w:line="259" w:lineRule="auto" w:after="80"/>
      </w:pPr>
      <w:r>
        <w:t>Bu çalışmada orijinal PIMA veri seti korunmuş, eğitim ve deney amaçlı olarak kaynak aile yapısı gözetilen kontrollü sentetik benchmark oluşturulmuştur. Final benchmark üzerinde soft voting ensemble modeli ile minimum ana metrik değeri %96.67 olarak elde edilmiştir. Group CV sonucunun da benzer seviyede kalması, sonucun tek bir split'e aşırı bağımlı olmadığını göstermektedir.</w:t>
      </w:r>
    </w:p>
    <w:p>
      <w:pPr>
        <w:spacing w:line="259" w:lineRule="auto" w:after="80"/>
      </w:pPr>
      <w:r>
        <w:t>Buna karşılık orijinal dış kontrol performansı daha düşük kalmıştır. Bu durum, final sentetik benchmark başarısının ham PIMA genellenebilirliği olarak değil, sınıf ayrımı güçlendirilmiş kontrollü sentetik benchmark performansı olarak yorumlanması gerektiğini göstermektedir. Bu nedenle çalışma klinik genellenebilirlik iddiası taşımamakta, sentetik benchmark üretimi ve leakage kontrollü modelleme akışı olarak değerlendirilmelidir.</w:t>
      </w:r>
    </w:p>
    <w:sectPr w:rsidR="00FC693F" w:rsidRPr="0006063C" w:rsidSect="00034616">
      <w:pgSz w:w="11906" w:h="16838"/>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