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PIMA Sentetik Benchmark Sağlamlık ve Risk Denetimi Raporu</w:t>
      </w:r>
    </w:p>
    <w:p>
      <w:pPr>
        <w:spacing w:line="259" w:lineRule="auto" w:after="0"/>
      </w:pPr>
      <w:r>
        <w:t>Bu rapor, küçük ölçekli sentetik benchmark sonuçlarını yalnız skor odaklı değil; sentetik veriye aşırı uyum, veri sızıntısı, yapay ayrışma, küçük veri varyansı ve model karmaşıklığı açısından denetlemek için hazırlanmıştır.</w:t>
      </w:r>
    </w:p>
    <w:p>
      <w:pPr>
        <w:spacing w:line="259" w:lineRule="auto" w:after="0"/>
      </w:pPr>
      <w:r>
        <w:t>Ana sonuç değişmemiştir: 1000/1000 sınıf dengesi hedef metrikleri geçen en küçük adaydır. 500/500 adayı daha muhafazakar görünmesine rağmen hedefleri tam karşılamadığı ve grup çapraz doğrulama tarafında zayıf kaldığı için final aday yapılmamıştır.</w:t>
      </w:r>
    </w:p>
    <w:tbl>
      <w:tblPr>
        <w:tblStyle w:val="TableGrid"/>
        <w:tblW w:type="auto" w:w="0"/>
        <w:tblLook w:firstColumn="1" w:firstRow="1" w:lastColumn="0" w:lastRow="0" w:noHBand="0" w:noVBand="1" w:val="04A0"/>
      </w:tblPr>
      <w:tblGrid>
        <w:gridCol w:w="5328"/>
        <w:gridCol w:w="5328"/>
      </w:tblGrid>
      <w:tr>
        <w:tc>
          <w:tcPr>
            <w:tcW w:type="dxa" w:w="5328"/>
            <w:shd w:fill="1F4E79"/>
          </w:tcPr>
          <w:p>
            <w:pPr>
              <w:jc w:val="center"/>
            </w:pPr>
            <w:r>
              <w:rPr>
                <w:b/>
                <w:color w:val="FFFFFF"/>
                <w:sz w:val="14"/>
              </w:rPr>
              <w:t>Alan</w:t>
            </w:r>
          </w:p>
        </w:tc>
        <w:tc>
          <w:tcPr>
            <w:tcW w:type="dxa" w:w="5328"/>
            <w:shd w:fill="1F4E79"/>
          </w:tcPr>
          <w:p>
            <w:pPr>
              <w:jc w:val="center"/>
            </w:pPr>
            <w:r>
              <w:rPr>
                <w:b/>
                <w:color w:val="FFFFFF"/>
                <w:sz w:val="14"/>
              </w:rPr>
              <w:t>Değer</w:t>
            </w:r>
          </w:p>
        </w:tc>
      </w:tr>
      <w:tr>
        <w:tc>
          <w:tcPr>
            <w:tcW w:type="dxa" w:w="5328"/>
          </w:tcPr>
          <w:p>
            <w:pPr>
              <w:jc w:val="center"/>
            </w:pPr>
            <w:r>
              <w:rPr>
                <w:sz w:val="14"/>
              </w:rPr>
              <w:t>Seçilen aday</w:t>
            </w:r>
          </w:p>
        </w:tc>
        <w:tc>
          <w:tcPr>
            <w:tcW w:type="dxa" w:w="5328"/>
          </w:tcPr>
          <w:p>
            <w:pPr>
              <w:jc w:val="center"/>
            </w:pPr>
            <w:r>
              <w:rPr>
                <w:sz w:val="14"/>
              </w:rPr>
              <w:t>1000/1000 sınıf dengesi</w:t>
            </w:r>
          </w:p>
        </w:tc>
      </w:tr>
      <w:tr>
        <w:tc>
          <w:tcPr>
            <w:tcW w:type="dxa" w:w="5328"/>
          </w:tcPr>
          <w:p>
            <w:pPr>
              <w:jc w:val="center"/>
            </w:pPr>
            <w:r>
              <w:rPr>
                <w:sz w:val="14"/>
              </w:rPr>
              <w:t>Model</w:t>
            </w:r>
          </w:p>
        </w:tc>
        <w:tc>
          <w:tcPr>
            <w:tcW w:type="dxa" w:w="5328"/>
          </w:tcPr>
          <w:p>
            <w:pPr>
              <w:jc w:val="center"/>
            </w:pPr>
            <w:r>
              <w:rPr>
                <w:sz w:val="14"/>
              </w:rPr>
              <w:t>ExtraTrees</w:t>
            </w:r>
          </w:p>
        </w:tc>
      </w:tr>
      <w:tr>
        <w:tc>
          <w:tcPr>
            <w:tcW w:type="dxa" w:w="5328"/>
          </w:tcPr>
          <w:p>
            <w:pPr>
              <w:jc w:val="center"/>
            </w:pPr>
            <w:r>
              <w:rPr>
                <w:sz w:val="14"/>
              </w:rPr>
              <w:t>Sentetik holdout doğruluk</w:t>
            </w:r>
          </w:p>
        </w:tc>
        <w:tc>
          <w:tcPr>
            <w:tcW w:type="dxa" w:w="5328"/>
          </w:tcPr>
          <w:p>
            <w:pPr>
              <w:jc w:val="center"/>
            </w:pPr>
            <w:r>
              <w:rPr>
                <w:sz w:val="14"/>
              </w:rPr>
              <w:t>%94.16</w:t>
            </w:r>
          </w:p>
        </w:tc>
      </w:tr>
      <w:tr>
        <w:tc>
          <w:tcPr>
            <w:tcW w:type="dxa" w:w="5328"/>
          </w:tcPr>
          <w:p>
            <w:pPr>
              <w:jc w:val="center"/>
            </w:pPr>
            <w:r>
              <w:rPr>
                <w:sz w:val="14"/>
              </w:rPr>
              <w:t>Sentetik holdout min ana</w:t>
            </w:r>
          </w:p>
        </w:tc>
        <w:tc>
          <w:tcPr>
            <w:tcW w:type="dxa" w:w="5328"/>
          </w:tcPr>
          <w:p>
            <w:pPr>
              <w:jc w:val="center"/>
            </w:pPr>
            <w:r>
              <w:rPr>
                <w:sz w:val="14"/>
              </w:rPr>
              <w:t>%92.49</w:t>
            </w:r>
          </w:p>
        </w:tc>
      </w:tr>
      <w:tr>
        <w:tc>
          <w:tcPr>
            <w:tcW w:type="dxa" w:w="5328"/>
          </w:tcPr>
          <w:p>
            <w:pPr>
              <w:jc w:val="center"/>
            </w:pPr>
            <w:r>
              <w:rPr>
                <w:sz w:val="14"/>
              </w:rPr>
              <w:t>Grup çapraz doğrulama min ana</w:t>
            </w:r>
          </w:p>
        </w:tc>
        <w:tc>
          <w:tcPr>
            <w:tcW w:type="dxa" w:w="5328"/>
          </w:tcPr>
          <w:p>
            <w:pPr>
              <w:jc w:val="center"/>
            </w:pPr>
            <w:r>
              <w:rPr>
                <w:sz w:val="14"/>
              </w:rPr>
              <w:t>%91.31 ± 0.008</w:t>
            </w:r>
          </w:p>
        </w:tc>
      </w:tr>
      <w:tr>
        <w:tc>
          <w:tcPr>
            <w:tcW w:type="dxa" w:w="5328"/>
          </w:tcPr>
          <w:p>
            <w:pPr>
              <w:jc w:val="center"/>
            </w:pPr>
            <w:r>
              <w:rPr>
                <w:sz w:val="14"/>
              </w:rPr>
              <w:t>Dış kontrol doğruluk</w:t>
            </w:r>
          </w:p>
        </w:tc>
        <w:tc>
          <w:tcPr>
            <w:tcW w:type="dxa" w:w="5328"/>
          </w:tcPr>
          <w:p>
            <w:pPr>
              <w:jc w:val="center"/>
            </w:pPr>
            <w:r>
              <w:rPr>
                <w:sz w:val="14"/>
              </w:rPr>
              <w:t>%74.03</w:t>
            </w:r>
          </w:p>
        </w:tc>
      </w:tr>
      <w:tr>
        <w:tc>
          <w:tcPr>
            <w:tcW w:type="dxa" w:w="5328"/>
          </w:tcPr>
          <w:p>
            <w:pPr>
              <w:jc w:val="center"/>
            </w:pPr>
            <w:r>
              <w:rPr>
                <w:sz w:val="14"/>
              </w:rPr>
              <w:t>Dış kontrol ROC-AUC</w:t>
            </w:r>
          </w:p>
        </w:tc>
        <w:tc>
          <w:tcPr>
            <w:tcW w:type="dxa" w:w="5328"/>
          </w:tcPr>
          <w:p>
            <w:pPr>
              <w:jc w:val="center"/>
            </w:pPr>
            <w:r>
              <w:rPr>
                <w:sz w:val="14"/>
              </w:rPr>
              <w:t>%81.81</w:t>
            </w:r>
          </w:p>
        </w:tc>
      </w:tr>
      <w:tr>
        <w:tc>
          <w:tcPr>
            <w:tcW w:type="dxa" w:w="5328"/>
          </w:tcPr>
          <w:p>
            <w:pPr>
              <w:jc w:val="center"/>
            </w:pPr>
            <w:r>
              <w:rPr>
                <w:sz w:val="14"/>
              </w:rPr>
              <w:t>Sızıntı durumu</w:t>
            </w:r>
          </w:p>
        </w:tc>
        <w:tc>
          <w:tcPr>
            <w:tcW w:type="dxa" w:w="5328"/>
          </w:tcPr>
          <w:p>
            <w:pPr>
              <w:jc w:val="center"/>
            </w:pPr>
            <w:r>
              <w:rPr>
                <w:sz w:val="14"/>
              </w:rPr>
              <w:t>Temiz</w:t>
            </w:r>
          </w:p>
        </w:tc>
      </w:tr>
    </w:tbl>
    <w:p/>
    <w:p>
      <w:pPr>
        <w:jc w:val="center"/>
      </w:pPr>
      <w:r>
        <w:drawing>
          <wp:inline xmlns:a="http://schemas.openxmlformats.org/drawingml/2006/main" xmlns:pic="http://schemas.openxmlformats.org/drawingml/2006/picture">
            <wp:extent cx="5760720" cy="2802512"/>
            <wp:docPr id="1" name="Picture 1"/>
            <wp:cNvGraphicFramePr>
              <a:graphicFrameLocks noChangeAspect="1"/>
            </wp:cNvGraphicFramePr>
            <a:graphic>
              <a:graphicData uri="http://schemas.openxmlformats.org/drawingml/2006/picture">
                <pic:pic>
                  <pic:nvPicPr>
                    <pic:cNvPr id="0" name="risk_audit_gap_analizi.png"/>
                    <pic:cNvPicPr/>
                  </pic:nvPicPr>
                  <pic:blipFill>
                    <a:blip r:embed="rId9"/>
                    <a:stretch>
                      <a:fillRect/>
                    </a:stretch>
                  </pic:blipFill>
                  <pic:spPr>
                    <a:xfrm>
                      <a:off x="0" y="0"/>
                      <a:ext cx="5760720" cy="2802512"/>
                    </a:xfrm>
                    <a:prstGeom prst="rect"/>
                  </pic:spPr>
                </pic:pic>
              </a:graphicData>
            </a:graphic>
          </wp:inline>
        </w:drawing>
      </w:r>
    </w:p>
    <w:p>
      <w:pPr>
        <w:jc w:val="center"/>
      </w:pPr>
      <w:r>
        <w:rPr>
          <w:i/>
          <w:sz w:val="15"/>
        </w:rPr>
        <w:t>Grafik, sentetik benchmark skorları ile orijinal dış kontrol sonucu arasındaki farkı göstermektedir. Bu fark, sonucun ham PIMA genellenebilirliği olarak değil sentetik benchmark başarısı olarak yorumlanması gerektiğini gösterir.</w:t>
      </w:r>
    </w:p>
    <w:p>
      <w:r>
        <w:br w:type="page"/>
      </w:r>
    </w:p>
    <w:p>
      <w:pPr>
        <w:pStyle w:val="Heading1"/>
      </w:pPr>
      <w:r>
        <w:t>500/500'den 1000/1000'e Karar Hattı</w:t>
      </w:r>
    </w:p>
    <w:p>
      <w:pPr>
        <w:spacing w:line="259" w:lineRule="auto" w:after="0"/>
      </w:pPr>
      <w:r>
        <w:t>Bu bölüm yalnız 500/500 ile 1000/1000 arasındaki karar hattını gösterir. Amaç, en küçük adaydan başlayarak hangi noktada hem sentetik holdout hedeflerinin hem de grup çapraz doğrulama kararlılığının yeterli seviyeye geldiğini açıkça göstermektir.</w:t>
      </w:r>
    </w:p>
    <w:p>
      <w:pPr>
        <w:spacing w:line="259" w:lineRule="auto" w:after="0"/>
      </w:pPr>
      <w:r>
        <w:t>Cohen's d ve dağılım kayması aynı ölçü değildir. Cohen's d, sınıfların birbirinden ne kadar ayrıldığını gösterir; dağılım kayması ise aday verinin original_dev ortalamasından ne kadar uzaklaştığını ölçer. Bu yüzden 1000/1000 adayında sınıf ayrımı artarken genel dağılım kayması 500/500'e çok yakın, hatta biraz daha düşük görünebilir.</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shd w:fill="1F4E79"/>
          </w:tcPr>
          <w:p>
            <w:pPr>
              <w:jc w:val="center"/>
            </w:pPr>
            <w:r>
              <w:rPr>
                <w:b/>
                <w:color w:val="FFFFFF"/>
                <w:sz w:val="12"/>
              </w:rPr>
              <w:t>Aday</w:t>
            </w:r>
          </w:p>
        </w:tc>
        <w:tc>
          <w:tcPr>
            <w:tcW w:type="dxa" w:w="1332"/>
            <w:shd w:fill="1F4E79"/>
          </w:tcPr>
          <w:p>
            <w:pPr>
              <w:jc w:val="center"/>
            </w:pPr>
            <w:r>
              <w:rPr>
                <w:b/>
                <w:color w:val="FFFFFF"/>
                <w:sz w:val="12"/>
              </w:rPr>
              <w:t>En iyi model</w:t>
            </w:r>
          </w:p>
        </w:tc>
        <w:tc>
          <w:tcPr>
            <w:tcW w:type="dxa" w:w="1332"/>
            <w:shd w:fill="1F4E79"/>
          </w:tcPr>
          <w:p>
            <w:pPr>
              <w:jc w:val="center"/>
            </w:pPr>
            <w:r>
              <w:rPr>
                <w:b/>
                <w:color w:val="FFFFFF"/>
                <w:sz w:val="12"/>
              </w:rPr>
              <w:t>Doğruluk</w:t>
            </w:r>
          </w:p>
        </w:tc>
        <w:tc>
          <w:tcPr>
            <w:tcW w:type="dxa" w:w="1332"/>
            <w:shd w:fill="1F4E79"/>
          </w:tcPr>
          <w:p>
            <w:pPr>
              <w:jc w:val="center"/>
            </w:pPr>
            <w:r>
              <w:rPr>
                <w:b/>
                <w:color w:val="FFFFFF"/>
                <w:sz w:val="12"/>
              </w:rPr>
              <w:t>Min ana</w:t>
            </w:r>
          </w:p>
        </w:tc>
        <w:tc>
          <w:tcPr>
            <w:tcW w:type="dxa" w:w="1332"/>
            <w:shd w:fill="1F4E79"/>
          </w:tcPr>
          <w:p>
            <w:pPr>
              <w:jc w:val="center"/>
            </w:pPr>
            <w:r>
              <w:rPr>
                <w:b/>
                <w:color w:val="FFFFFF"/>
                <w:sz w:val="12"/>
              </w:rPr>
              <w:t>Grup çapraz doğrulama min ana</w:t>
            </w:r>
          </w:p>
        </w:tc>
        <w:tc>
          <w:tcPr>
            <w:tcW w:type="dxa" w:w="1332"/>
            <w:shd w:fill="1F4E79"/>
          </w:tcPr>
          <w:p>
            <w:pPr>
              <w:jc w:val="center"/>
            </w:pPr>
            <w:r>
              <w:rPr>
                <w:b/>
                <w:color w:val="FFFFFF"/>
                <w:sz w:val="12"/>
              </w:rPr>
              <w:t>Cohen's d</w:t>
            </w:r>
          </w:p>
        </w:tc>
        <w:tc>
          <w:tcPr>
            <w:tcW w:type="dxa" w:w="1332"/>
            <w:shd w:fill="1F4E79"/>
          </w:tcPr>
          <w:p>
            <w:pPr>
              <w:jc w:val="center"/>
            </w:pPr>
            <w:r>
              <w:rPr>
                <w:b/>
                <w:color w:val="FFFFFF"/>
                <w:sz w:val="12"/>
              </w:rPr>
              <w:t>Shift</w:t>
            </w:r>
          </w:p>
        </w:tc>
        <w:tc>
          <w:tcPr>
            <w:tcW w:type="dxa" w:w="1332"/>
            <w:shd w:fill="1F4E79"/>
          </w:tcPr>
          <w:p>
            <w:pPr>
              <w:jc w:val="center"/>
            </w:pPr>
            <w:r>
              <w:rPr>
                <w:b/>
                <w:color w:val="FFFFFF"/>
                <w:sz w:val="12"/>
              </w:rPr>
              <w:t>Durum</w:t>
            </w:r>
          </w:p>
        </w:tc>
      </w:tr>
      <w:tr>
        <w:tc>
          <w:tcPr>
            <w:tcW w:type="dxa" w:w="1332"/>
          </w:tcPr>
          <w:p>
            <w:pPr>
              <w:jc w:val="center"/>
            </w:pPr>
            <w:r>
              <w:rPr>
                <w:sz w:val="12"/>
              </w:rPr>
              <w:t>500/500</w:t>
            </w:r>
          </w:p>
        </w:tc>
        <w:tc>
          <w:tcPr>
            <w:tcW w:type="dxa" w:w="1332"/>
          </w:tcPr>
          <w:p>
            <w:pPr>
              <w:jc w:val="center"/>
            </w:pPr>
            <w:r>
              <w:rPr>
                <w:sz w:val="12"/>
              </w:rPr>
              <w:t>XGB+LGBM+ET Soft Voting</w:t>
            </w:r>
          </w:p>
        </w:tc>
        <w:tc>
          <w:tcPr>
            <w:tcW w:type="dxa" w:w="1332"/>
          </w:tcPr>
          <w:p>
            <w:pPr>
              <w:jc w:val="center"/>
            </w:pPr>
            <w:r>
              <w:rPr>
                <w:sz w:val="12"/>
              </w:rPr>
              <w:t>%92.00</w:t>
            </w:r>
          </w:p>
        </w:tc>
        <w:tc>
          <w:tcPr>
            <w:tcW w:type="dxa" w:w="1332"/>
          </w:tcPr>
          <w:p>
            <w:pPr>
              <w:jc w:val="center"/>
            </w:pPr>
            <w:r>
              <w:rPr>
                <w:sz w:val="12"/>
              </w:rPr>
              <w:t>%91.00</w:t>
            </w:r>
          </w:p>
        </w:tc>
        <w:tc>
          <w:tcPr>
            <w:tcW w:type="dxa" w:w="1332"/>
          </w:tcPr>
          <w:p>
            <w:pPr>
              <w:jc w:val="center"/>
            </w:pPr>
            <w:r>
              <w:rPr>
                <w:sz w:val="12"/>
              </w:rPr>
              <w:t>%85.60 ± 0.026</w:t>
            </w:r>
          </w:p>
        </w:tc>
        <w:tc>
          <w:tcPr>
            <w:tcW w:type="dxa" w:w="1332"/>
          </w:tcPr>
          <w:p>
            <w:pPr>
              <w:jc w:val="center"/>
            </w:pPr>
            <w:r>
              <w:rPr>
                <w:sz w:val="12"/>
              </w:rPr>
              <w:t>0.836</w:t>
            </w:r>
          </w:p>
        </w:tc>
        <w:tc>
          <w:tcPr>
            <w:tcW w:type="dxa" w:w="1332"/>
          </w:tcPr>
          <w:p>
            <w:pPr>
              <w:jc w:val="center"/>
            </w:pPr>
            <w:r>
              <w:rPr>
                <w:sz w:val="12"/>
              </w:rPr>
              <w:t>0.115</w:t>
            </w:r>
          </w:p>
        </w:tc>
        <w:tc>
          <w:tcPr>
            <w:tcW w:type="dxa" w:w="1332"/>
          </w:tcPr>
          <w:p>
            <w:pPr>
              <w:jc w:val="center"/>
            </w:pPr>
            <w:r>
              <w:rPr>
                <w:sz w:val="12"/>
              </w:rPr>
              <w:t>Geçmedi</w:t>
            </w:r>
          </w:p>
        </w:tc>
      </w:tr>
      <w:tr>
        <w:tc>
          <w:tcPr>
            <w:tcW w:type="dxa" w:w="1332"/>
          </w:tcPr>
          <w:p>
            <w:pPr>
              <w:jc w:val="center"/>
            </w:pPr>
            <w:r>
              <w:rPr>
                <w:sz w:val="12"/>
              </w:rPr>
              <w:t>650/650</w:t>
            </w:r>
          </w:p>
        </w:tc>
        <w:tc>
          <w:tcPr>
            <w:tcW w:type="dxa" w:w="1332"/>
          </w:tcPr>
          <w:p>
            <w:pPr>
              <w:jc w:val="center"/>
            </w:pPr>
            <w:r>
              <w:rPr>
                <w:sz w:val="12"/>
              </w:rPr>
              <w:t>XGB+LGBM+ET Soft Voting</w:t>
            </w:r>
          </w:p>
        </w:tc>
        <w:tc>
          <w:tcPr>
            <w:tcW w:type="dxa" w:w="1332"/>
          </w:tcPr>
          <w:p>
            <w:pPr>
              <w:jc w:val="center"/>
            </w:pPr>
            <w:r>
              <w:rPr>
                <w:sz w:val="12"/>
              </w:rPr>
              <w:t>%91.99</w:t>
            </w:r>
          </w:p>
        </w:tc>
        <w:tc>
          <w:tcPr>
            <w:tcW w:type="dxa" w:w="1332"/>
          </w:tcPr>
          <w:p>
            <w:pPr>
              <w:jc w:val="center"/>
            </w:pPr>
            <w:r>
              <w:rPr>
                <w:sz w:val="12"/>
              </w:rPr>
              <w:t>%91.61</w:t>
            </w:r>
          </w:p>
        </w:tc>
        <w:tc>
          <w:tcPr>
            <w:tcW w:type="dxa" w:w="1332"/>
          </w:tcPr>
          <w:p>
            <w:pPr>
              <w:jc w:val="center"/>
            </w:pPr>
            <w:r>
              <w:rPr>
                <w:sz w:val="12"/>
              </w:rPr>
              <w:t>%87.38 ± 0.021</w:t>
            </w:r>
          </w:p>
        </w:tc>
        <w:tc>
          <w:tcPr>
            <w:tcW w:type="dxa" w:w="1332"/>
          </w:tcPr>
          <w:p>
            <w:pPr>
              <w:jc w:val="center"/>
            </w:pPr>
            <w:r>
              <w:rPr>
                <w:sz w:val="12"/>
              </w:rPr>
              <w:t>1.050</w:t>
            </w:r>
          </w:p>
        </w:tc>
        <w:tc>
          <w:tcPr>
            <w:tcW w:type="dxa" w:w="1332"/>
          </w:tcPr>
          <w:p>
            <w:pPr>
              <w:jc w:val="center"/>
            </w:pPr>
            <w:r>
              <w:rPr>
                <w:sz w:val="12"/>
              </w:rPr>
              <w:t>0.125</w:t>
            </w:r>
          </w:p>
        </w:tc>
        <w:tc>
          <w:tcPr>
            <w:tcW w:type="dxa" w:w="1332"/>
          </w:tcPr>
          <w:p>
            <w:pPr>
              <w:jc w:val="center"/>
            </w:pPr>
            <w:r>
              <w:rPr>
                <w:sz w:val="12"/>
              </w:rPr>
              <w:t>Geçmedi</w:t>
            </w:r>
          </w:p>
        </w:tc>
      </w:tr>
      <w:tr>
        <w:tc>
          <w:tcPr>
            <w:tcW w:type="dxa" w:w="1332"/>
          </w:tcPr>
          <w:p>
            <w:pPr>
              <w:jc w:val="center"/>
            </w:pPr>
            <w:r>
              <w:rPr>
                <w:sz w:val="12"/>
              </w:rPr>
              <w:t>800/800</w:t>
            </w:r>
          </w:p>
        </w:tc>
        <w:tc>
          <w:tcPr>
            <w:tcW w:type="dxa" w:w="1332"/>
          </w:tcPr>
          <w:p>
            <w:pPr>
              <w:jc w:val="center"/>
            </w:pPr>
            <w:r>
              <w:rPr>
                <w:sz w:val="12"/>
              </w:rPr>
              <w:t>XGB+LGBM+ET Soft Voting</w:t>
            </w:r>
          </w:p>
        </w:tc>
        <w:tc>
          <w:tcPr>
            <w:tcW w:type="dxa" w:w="1332"/>
          </w:tcPr>
          <w:p>
            <w:pPr>
              <w:jc w:val="center"/>
            </w:pPr>
            <w:r>
              <w:rPr>
                <w:sz w:val="12"/>
              </w:rPr>
              <w:t>%91.19</w:t>
            </w:r>
          </w:p>
        </w:tc>
        <w:tc>
          <w:tcPr>
            <w:tcW w:type="dxa" w:w="1332"/>
          </w:tcPr>
          <w:p>
            <w:pPr>
              <w:jc w:val="center"/>
            </w:pPr>
            <w:r>
              <w:rPr>
                <w:sz w:val="12"/>
              </w:rPr>
              <w:t>%91.19</w:t>
            </w:r>
          </w:p>
        </w:tc>
        <w:tc>
          <w:tcPr>
            <w:tcW w:type="dxa" w:w="1332"/>
          </w:tcPr>
          <w:p>
            <w:pPr>
              <w:jc w:val="center"/>
            </w:pPr>
            <w:r>
              <w:rPr>
                <w:sz w:val="12"/>
              </w:rPr>
              <w:t>%90.00 ± 0.012</w:t>
            </w:r>
          </w:p>
        </w:tc>
        <w:tc>
          <w:tcPr>
            <w:tcW w:type="dxa" w:w="1332"/>
          </w:tcPr>
          <w:p>
            <w:pPr>
              <w:jc w:val="center"/>
            </w:pPr>
            <w:r>
              <w:rPr>
                <w:sz w:val="12"/>
              </w:rPr>
              <w:t>1.281</w:t>
            </w:r>
          </w:p>
        </w:tc>
        <w:tc>
          <w:tcPr>
            <w:tcW w:type="dxa" w:w="1332"/>
          </w:tcPr>
          <w:p>
            <w:pPr>
              <w:jc w:val="center"/>
            </w:pPr>
            <w:r>
              <w:rPr>
                <w:sz w:val="12"/>
              </w:rPr>
              <w:t>0.117</w:t>
            </w:r>
          </w:p>
        </w:tc>
        <w:tc>
          <w:tcPr>
            <w:tcW w:type="dxa" w:w="1332"/>
          </w:tcPr>
          <w:p>
            <w:pPr>
              <w:jc w:val="center"/>
            </w:pPr>
            <w:r>
              <w:rPr>
                <w:sz w:val="12"/>
              </w:rPr>
              <w:t>Geçmedi</w:t>
            </w:r>
          </w:p>
        </w:tc>
      </w:tr>
      <w:tr>
        <w:tc>
          <w:tcPr>
            <w:tcW w:type="dxa" w:w="1332"/>
          </w:tcPr>
          <w:p>
            <w:pPr>
              <w:jc w:val="center"/>
            </w:pPr>
            <w:r>
              <w:rPr>
                <w:sz w:val="12"/>
              </w:rPr>
              <w:t>1000/1000</w:t>
            </w:r>
          </w:p>
        </w:tc>
        <w:tc>
          <w:tcPr>
            <w:tcW w:type="dxa" w:w="1332"/>
          </w:tcPr>
          <w:p>
            <w:pPr>
              <w:jc w:val="center"/>
            </w:pPr>
            <w:r>
              <w:rPr>
                <w:sz w:val="12"/>
              </w:rPr>
              <w:t>ExtraTrees</w:t>
            </w:r>
          </w:p>
        </w:tc>
        <w:tc>
          <w:tcPr>
            <w:tcW w:type="dxa" w:w="1332"/>
          </w:tcPr>
          <w:p>
            <w:pPr>
              <w:jc w:val="center"/>
            </w:pPr>
            <w:r>
              <w:rPr>
                <w:sz w:val="12"/>
              </w:rPr>
              <w:t>%94.16</w:t>
            </w:r>
          </w:p>
        </w:tc>
        <w:tc>
          <w:tcPr>
            <w:tcW w:type="dxa" w:w="1332"/>
          </w:tcPr>
          <w:p>
            <w:pPr>
              <w:jc w:val="center"/>
            </w:pPr>
            <w:r>
              <w:rPr>
                <w:sz w:val="12"/>
              </w:rPr>
              <w:t>%92.49</w:t>
            </w:r>
          </w:p>
        </w:tc>
        <w:tc>
          <w:tcPr>
            <w:tcW w:type="dxa" w:w="1332"/>
          </w:tcPr>
          <w:p>
            <w:pPr>
              <w:jc w:val="center"/>
            </w:pPr>
            <w:r>
              <w:rPr>
                <w:sz w:val="12"/>
              </w:rPr>
              <w:t>%91.31 ± 0.008</w:t>
            </w:r>
          </w:p>
        </w:tc>
        <w:tc>
          <w:tcPr>
            <w:tcW w:type="dxa" w:w="1332"/>
          </w:tcPr>
          <w:p>
            <w:pPr>
              <w:jc w:val="center"/>
            </w:pPr>
            <w:r>
              <w:rPr>
                <w:sz w:val="12"/>
              </w:rPr>
              <w:t>1.382</w:t>
            </w:r>
          </w:p>
        </w:tc>
        <w:tc>
          <w:tcPr>
            <w:tcW w:type="dxa" w:w="1332"/>
          </w:tcPr>
          <w:p>
            <w:pPr>
              <w:jc w:val="center"/>
            </w:pPr>
            <w:r>
              <w:rPr>
                <w:sz w:val="12"/>
              </w:rPr>
              <w:t>0.112</w:t>
            </w:r>
          </w:p>
        </w:tc>
        <w:tc>
          <w:tcPr>
            <w:tcW w:type="dxa" w:w="1332"/>
          </w:tcPr>
          <w:p>
            <w:pPr>
              <w:jc w:val="center"/>
            </w:pPr>
            <w:r>
              <w:rPr>
                <w:sz w:val="12"/>
              </w:rPr>
              <w:t>Seçildi</w:t>
            </w:r>
          </w:p>
        </w:tc>
      </w:tr>
    </w:tbl>
    <w:p/>
    <w:p>
      <w:pPr>
        <w:jc w:val="center"/>
      </w:pPr>
      <w:r>
        <w:drawing>
          <wp:inline xmlns:a="http://schemas.openxmlformats.org/drawingml/2006/main" xmlns:pic="http://schemas.openxmlformats.org/drawingml/2006/picture">
            <wp:extent cx="5852160" cy="2772076"/>
            <wp:docPr id="2" name="Picture 2"/>
            <wp:cNvGraphicFramePr>
              <a:graphicFrameLocks noChangeAspect="1"/>
            </wp:cNvGraphicFramePr>
            <a:graphic>
              <a:graphicData uri="http://schemas.openxmlformats.org/drawingml/2006/picture">
                <pic:pic>
                  <pic:nvPicPr>
                    <pic:cNvPr id="0" name="risk_audit_aday_karsilastirma.png"/>
                    <pic:cNvPicPr/>
                  </pic:nvPicPr>
                  <pic:blipFill>
                    <a:blip r:embed="rId10"/>
                    <a:stretch>
                      <a:fillRect/>
                    </a:stretch>
                  </pic:blipFill>
                  <pic:spPr>
                    <a:xfrm>
                      <a:off x="0" y="0"/>
                      <a:ext cx="5852160" cy="2772076"/>
                    </a:xfrm>
                    <a:prstGeom prst="rect"/>
                  </pic:spPr>
                </pic:pic>
              </a:graphicData>
            </a:graphic>
          </wp:inline>
        </w:drawing>
      </w:r>
    </w:p>
    <w:p>
      <w:pPr>
        <w:jc w:val="center"/>
      </w:pPr>
      <w:r>
        <w:rPr>
          <w:i/>
          <w:sz w:val="15"/>
        </w:rPr>
        <w:t>Grafik, 500/500'den 1000/1000'e geçerken minimum ana metriğin hedefe yaklaştığını gösterir. 1000/1000 hedefi geçen ilk adaydır; daha büyük adaylar bu risk denetiminde ana karar eksenine alınmamıştır.</w:t>
      </w:r>
    </w:p>
    <w:p>
      <w:pPr>
        <w:pStyle w:val="Heading2"/>
      </w:pPr>
      <w:r>
        <w:t>Aday Bazlı Hata Matrisleri</w:t>
      </w:r>
    </w:p>
    <w:p>
      <w:pPr>
        <w:spacing w:line="259" w:lineRule="auto" w:after="0"/>
      </w:pPr>
      <w:r>
        <w:t>Aşağıdaki tablo ve sıcaklık haritası, her adayın sentetik holdout üzerindeki hata dağılımını gösterir. Özellikle yanlış negatif (FN) değeri önemlidir; çünkü pozitif sınıfı kaçırma eğilimini doğrudan gösterir.</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shd w:fill="1F4E79"/>
          </w:tcPr>
          <w:p>
            <w:pPr>
              <w:jc w:val="center"/>
            </w:pPr>
            <w:r>
              <w:rPr>
                <w:b/>
                <w:color w:val="FFFFFF"/>
                <w:sz w:val="13"/>
              </w:rPr>
              <w:t>Aday</w:t>
            </w:r>
          </w:p>
        </w:tc>
        <w:tc>
          <w:tcPr>
            <w:tcW w:type="dxa" w:w="1522"/>
            <w:shd w:fill="1F4E79"/>
          </w:tcPr>
          <w:p>
            <w:pPr>
              <w:jc w:val="center"/>
            </w:pPr>
            <w:r>
              <w:rPr>
                <w:b/>
                <w:color w:val="FFFFFF"/>
                <w:sz w:val="13"/>
              </w:rPr>
              <w:t>Model</w:t>
            </w:r>
          </w:p>
        </w:tc>
        <w:tc>
          <w:tcPr>
            <w:tcW w:type="dxa" w:w="1522"/>
            <w:shd w:fill="1F4E79"/>
          </w:tcPr>
          <w:p>
            <w:pPr>
              <w:jc w:val="center"/>
            </w:pPr>
            <w:r>
              <w:rPr>
                <w:b/>
                <w:color w:val="FFFFFF"/>
                <w:sz w:val="13"/>
              </w:rPr>
              <w:t>TN</w:t>
            </w:r>
          </w:p>
        </w:tc>
        <w:tc>
          <w:tcPr>
            <w:tcW w:type="dxa" w:w="1522"/>
            <w:shd w:fill="1F4E79"/>
          </w:tcPr>
          <w:p>
            <w:pPr>
              <w:jc w:val="center"/>
            </w:pPr>
            <w:r>
              <w:rPr>
                <w:b/>
                <w:color w:val="FFFFFF"/>
                <w:sz w:val="13"/>
              </w:rPr>
              <w:t>FP</w:t>
            </w:r>
          </w:p>
        </w:tc>
        <w:tc>
          <w:tcPr>
            <w:tcW w:type="dxa" w:w="1522"/>
            <w:shd w:fill="1F4E79"/>
          </w:tcPr>
          <w:p>
            <w:pPr>
              <w:jc w:val="center"/>
            </w:pPr>
            <w:r>
              <w:rPr>
                <w:b/>
                <w:color w:val="FFFFFF"/>
                <w:sz w:val="13"/>
              </w:rPr>
              <w:t>FN</w:t>
            </w:r>
          </w:p>
        </w:tc>
        <w:tc>
          <w:tcPr>
            <w:tcW w:type="dxa" w:w="1522"/>
            <w:shd w:fill="1F4E79"/>
          </w:tcPr>
          <w:p>
            <w:pPr>
              <w:jc w:val="center"/>
            </w:pPr>
            <w:r>
              <w:rPr>
                <w:b/>
                <w:color w:val="FFFFFF"/>
                <w:sz w:val="13"/>
              </w:rPr>
              <w:t>TP</w:t>
            </w:r>
          </w:p>
        </w:tc>
        <w:tc>
          <w:tcPr>
            <w:tcW w:type="dxa" w:w="1522"/>
            <w:shd w:fill="1F4E79"/>
          </w:tcPr>
          <w:p>
            <w:pPr>
              <w:jc w:val="center"/>
            </w:pPr>
            <w:r>
              <w:rPr>
                <w:b/>
                <w:color w:val="FFFFFF"/>
                <w:sz w:val="13"/>
              </w:rPr>
              <w:t>Kısa yorum</w:t>
            </w:r>
          </w:p>
        </w:tc>
      </w:tr>
      <w:tr>
        <w:tc>
          <w:tcPr>
            <w:tcW w:type="dxa" w:w="1522"/>
          </w:tcPr>
          <w:p>
            <w:pPr>
              <w:jc w:val="center"/>
            </w:pPr>
            <w:r>
              <w:rPr>
                <w:sz w:val="13"/>
              </w:rPr>
              <w:t>500/500</w:t>
            </w:r>
          </w:p>
        </w:tc>
        <w:tc>
          <w:tcPr>
            <w:tcW w:type="dxa" w:w="1522"/>
          </w:tcPr>
          <w:p>
            <w:pPr>
              <w:jc w:val="center"/>
            </w:pPr>
            <w:r>
              <w:rPr>
                <w:sz w:val="13"/>
              </w:rPr>
              <w:t>XGB+LGBM+ET Soft Voting</w:t>
            </w:r>
          </w:p>
        </w:tc>
        <w:tc>
          <w:tcPr>
            <w:tcW w:type="dxa" w:w="1522"/>
          </w:tcPr>
          <w:p>
            <w:pPr>
              <w:jc w:val="center"/>
            </w:pPr>
            <w:r>
              <w:rPr>
                <w:sz w:val="13"/>
              </w:rPr>
              <w:t>93</w:t>
            </w:r>
          </w:p>
        </w:tc>
        <w:tc>
          <w:tcPr>
            <w:tcW w:type="dxa" w:w="1522"/>
          </w:tcPr>
          <w:p>
            <w:pPr>
              <w:jc w:val="center"/>
            </w:pPr>
            <w:r>
              <w:rPr>
                <w:sz w:val="13"/>
              </w:rPr>
              <w:t>7</w:t>
            </w:r>
          </w:p>
        </w:tc>
        <w:tc>
          <w:tcPr>
            <w:tcW w:type="dxa" w:w="1522"/>
          </w:tcPr>
          <w:p>
            <w:pPr>
              <w:jc w:val="center"/>
            </w:pPr>
            <w:r>
              <w:rPr>
                <w:sz w:val="13"/>
              </w:rPr>
              <w:t>9</w:t>
            </w:r>
          </w:p>
        </w:tc>
        <w:tc>
          <w:tcPr>
            <w:tcW w:type="dxa" w:w="1522"/>
          </w:tcPr>
          <w:p>
            <w:pPr>
              <w:jc w:val="center"/>
            </w:pPr>
            <w:r>
              <w:rPr>
                <w:sz w:val="13"/>
              </w:rPr>
              <w:t>91</w:t>
            </w:r>
          </w:p>
        </w:tc>
        <w:tc>
          <w:tcPr>
            <w:tcW w:type="dxa" w:w="1522"/>
          </w:tcPr>
          <w:p>
            <w:pPr>
              <w:jc w:val="center"/>
            </w:pPr>
            <w:r>
              <w:rPr>
                <w:sz w:val="13"/>
              </w:rPr>
              <w:t>Min ana metrik hedef altında.</w:t>
            </w:r>
          </w:p>
        </w:tc>
      </w:tr>
      <w:tr>
        <w:tc>
          <w:tcPr>
            <w:tcW w:type="dxa" w:w="1522"/>
          </w:tcPr>
          <w:p>
            <w:pPr>
              <w:jc w:val="center"/>
            </w:pPr>
            <w:r>
              <w:rPr>
                <w:sz w:val="13"/>
              </w:rPr>
              <w:t>650/650</w:t>
            </w:r>
          </w:p>
        </w:tc>
        <w:tc>
          <w:tcPr>
            <w:tcW w:type="dxa" w:w="1522"/>
          </w:tcPr>
          <w:p>
            <w:pPr>
              <w:jc w:val="center"/>
            </w:pPr>
            <w:r>
              <w:rPr>
                <w:sz w:val="13"/>
              </w:rPr>
              <w:t>XGB+LGBM+ET Soft Voting</w:t>
            </w:r>
          </w:p>
        </w:tc>
        <w:tc>
          <w:tcPr>
            <w:tcW w:type="dxa" w:w="1522"/>
          </w:tcPr>
          <w:p>
            <w:pPr>
              <w:jc w:val="center"/>
            </w:pPr>
            <w:r>
              <w:rPr>
                <w:sz w:val="13"/>
              </w:rPr>
              <w:t>131</w:t>
            </w:r>
          </w:p>
        </w:tc>
        <w:tc>
          <w:tcPr>
            <w:tcW w:type="dxa" w:w="1522"/>
          </w:tcPr>
          <w:p>
            <w:pPr>
              <w:jc w:val="center"/>
            </w:pPr>
            <w:r>
              <w:rPr>
                <w:sz w:val="13"/>
              </w:rPr>
              <w:t>12</w:t>
            </w:r>
          </w:p>
        </w:tc>
        <w:tc>
          <w:tcPr>
            <w:tcW w:type="dxa" w:w="1522"/>
          </w:tcPr>
          <w:p>
            <w:pPr>
              <w:jc w:val="center"/>
            </w:pPr>
            <w:r>
              <w:rPr>
                <w:sz w:val="13"/>
              </w:rPr>
              <w:t>11</w:t>
            </w:r>
          </w:p>
        </w:tc>
        <w:tc>
          <w:tcPr>
            <w:tcW w:type="dxa" w:w="1522"/>
          </w:tcPr>
          <w:p>
            <w:pPr>
              <w:jc w:val="center"/>
            </w:pPr>
            <w:r>
              <w:rPr>
                <w:sz w:val="13"/>
              </w:rPr>
              <w:t>133</w:t>
            </w:r>
          </w:p>
        </w:tc>
        <w:tc>
          <w:tcPr>
            <w:tcW w:type="dxa" w:w="1522"/>
          </w:tcPr>
          <w:p>
            <w:pPr>
              <w:jc w:val="center"/>
            </w:pPr>
            <w:r>
              <w:rPr>
                <w:sz w:val="13"/>
              </w:rPr>
              <w:t>Min ana metrik hedef altında.</w:t>
            </w:r>
          </w:p>
        </w:tc>
      </w:tr>
      <w:tr>
        <w:tc>
          <w:tcPr>
            <w:tcW w:type="dxa" w:w="1522"/>
          </w:tcPr>
          <w:p>
            <w:pPr>
              <w:jc w:val="center"/>
            </w:pPr>
            <w:r>
              <w:rPr>
                <w:sz w:val="13"/>
              </w:rPr>
              <w:t>800/800</w:t>
            </w:r>
          </w:p>
        </w:tc>
        <w:tc>
          <w:tcPr>
            <w:tcW w:type="dxa" w:w="1522"/>
          </w:tcPr>
          <w:p>
            <w:pPr>
              <w:jc w:val="center"/>
            </w:pPr>
            <w:r>
              <w:rPr>
                <w:sz w:val="13"/>
              </w:rPr>
              <w:t>XGB+LGBM+ET Soft Voting</w:t>
            </w:r>
          </w:p>
        </w:tc>
        <w:tc>
          <w:tcPr>
            <w:tcW w:type="dxa" w:w="1522"/>
          </w:tcPr>
          <w:p>
            <w:pPr>
              <w:jc w:val="center"/>
            </w:pPr>
            <w:r>
              <w:rPr>
                <w:sz w:val="13"/>
              </w:rPr>
              <w:t>145</w:t>
            </w:r>
          </w:p>
        </w:tc>
        <w:tc>
          <w:tcPr>
            <w:tcW w:type="dxa" w:w="1522"/>
          </w:tcPr>
          <w:p>
            <w:pPr>
              <w:jc w:val="center"/>
            </w:pPr>
            <w:r>
              <w:rPr>
                <w:sz w:val="13"/>
              </w:rPr>
              <w:t>14</w:t>
            </w:r>
          </w:p>
        </w:tc>
        <w:tc>
          <w:tcPr>
            <w:tcW w:type="dxa" w:w="1522"/>
          </w:tcPr>
          <w:p>
            <w:pPr>
              <w:jc w:val="center"/>
            </w:pPr>
            <w:r>
              <w:rPr>
                <w:sz w:val="13"/>
              </w:rPr>
              <w:t>14</w:t>
            </w:r>
          </w:p>
        </w:tc>
        <w:tc>
          <w:tcPr>
            <w:tcW w:type="dxa" w:w="1522"/>
          </w:tcPr>
          <w:p>
            <w:pPr>
              <w:jc w:val="center"/>
            </w:pPr>
            <w:r>
              <w:rPr>
                <w:sz w:val="13"/>
              </w:rPr>
              <w:t>145</w:t>
            </w:r>
          </w:p>
        </w:tc>
        <w:tc>
          <w:tcPr>
            <w:tcW w:type="dxa" w:w="1522"/>
          </w:tcPr>
          <w:p>
            <w:pPr>
              <w:jc w:val="center"/>
            </w:pPr>
            <w:r>
              <w:rPr>
                <w:sz w:val="13"/>
              </w:rPr>
              <w:t>Min ana metrik hedef altında.</w:t>
            </w:r>
          </w:p>
        </w:tc>
      </w:tr>
      <w:tr>
        <w:tc>
          <w:tcPr>
            <w:tcW w:type="dxa" w:w="1522"/>
          </w:tcPr>
          <w:p>
            <w:pPr>
              <w:jc w:val="center"/>
            </w:pPr>
            <w:r>
              <w:rPr>
                <w:sz w:val="13"/>
              </w:rPr>
              <w:t>1000/1000</w:t>
            </w:r>
          </w:p>
        </w:tc>
        <w:tc>
          <w:tcPr>
            <w:tcW w:type="dxa" w:w="1522"/>
          </w:tcPr>
          <w:p>
            <w:pPr>
              <w:jc w:val="center"/>
            </w:pPr>
            <w:r>
              <w:rPr>
                <w:sz w:val="13"/>
              </w:rPr>
              <w:t>ExtraTrees</w:t>
            </w:r>
          </w:p>
        </w:tc>
        <w:tc>
          <w:tcPr>
            <w:tcW w:type="dxa" w:w="1522"/>
          </w:tcPr>
          <w:p>
            <w:pPr>
              <w:jc w:val="center"/>
            </w:pPr>
            <w:r>
              <w:rPr>
                <w:sz w:val="13"/>
              </w:rPr>
              <w:t>206</w:t>
            </w:r>
          </w:p>
        </w:tc>
        <w:tc>
          <w:tcPr>
            <w:tcW w:type="dxa" w:w="1522"/>
          </w:tcPr>
          <w:p>
            <w:pPr>
              <w:jc w:val="center"/>
            </w:pPr>
            <w:r>
              <w:rPr>
                <w:sz w:val="13"/>
              </w:rPr>
              <w:t>9</w:t>
            </w:r>
          </w:p>
        </w:tc>
        <w:tc>
          <w:tcPr>
            <w:tcW w:type="dxa" w:w="1522"/>
          </w:tcPr>
          <w:p>
            <w:pPr>
              <w:jc w:val="center"/>
            </w:pPr>
            <w:r>
              <w:rPr>
                <w:sz w:val="13"/>
              </w:rPr>
              <w:t>16</w:t>
            </w:r>
          </w:p>
        </w:tc>
        <w:tc>
          <w:tcPr>
            <w:tcW w:type="dxa" w:w="1522"/>
          </w:tcPr>
          <w:p>
            <w:pPr>
              <w:jc w:val="center"/>
            </w:pPr>
            <w:r>
              <w:rPr>
                <w:sz w:val="13"/>
              </w:rPr>
              <w:t>197</w:t>
            </w:r>
          </w:p>
        </w:tc>
        <w:tc>
          <w:tcPr>
            <w:tcW w:type="dxa" w:w="1522"/>
          </w:tcPr>
          <w:p>
            <w:pPr>
              <w:jc w:val="center"/>
            </w:pPr>
            <w:r>
              <w:rPr>
                <w:sz w:val="13"/>
              </w:rPr>
              <w:t>Hedefi geçen en küçük aday.</w:t>
            </w:r>
          </w:p>
        </w:tc>
      </w:tr>
    </w:tbl>
    <w:p/>
    <w:p>
      <w:pPr>
        <w:jc w:val="center"/>
      </w:pPr>
      <w:r>
        <w:drawing>
          <wp:inline xmlns:a="http://schemas.openxmlformats.org/drawingml/2006/main" xmlns:pic="http://schemas.openxmlformats.org/drawingml/2006/picture">
            <wp:extent cx="5852160" cy="4586828"/>
            <wp:docPr id="3" name="Picture 3"/>
            <wp:cNvGraphicFramePr>
              <a:graphicFrameLocks noChangeAspect="1"/>
            </wp:cNvGraphicFramePr>
            <a:graphic>
              <a:graphicData uri="http://schemas.openxmlformats.org/drawingml/2006/picture">
                <pic:pic>
                  <pic:nvPicPr>
                    <pic:cNvPr id="0" name="risk_audit_aday_hata_matrisi_heatmap.png"/>
                    <pic:cNvPicPr/>
                  </pic:nvPicPr>
                  <pic:blipFill>
                    <a:blip r:embed="rId11"/>
                    <a:stretch>
                      <a:fillRect/>
                    </a:stretch>
                  </pic:blipFill>
                  <pic:spPr>
                    <a:xfrm>
                      <a:off x="0" y="0"/>
                      <a:ext cx="5852160" cy="4586828"/>
                    </a:xfrm>
                    <a:prstGeom prst="rect"/>
                  </pic:spPr>
                </pic:pic>
              </a:graphicData>
            </a:graphic>
          </wp:inline>
        </w:drawing>
      </w:r>
    </w:p>
    <w:p>
      <w:pPr>
        <w:jc w:val="center"/>
      </w:pPr>
      <w:r>
        <w:rPr>
          <w:i/>
          <w:sz w:val="15"/>
        </w:rPr>
        <w:t>Sıcaklık haritaları, 500/500 ile 1000/1000 arasındaki adaylarda hataların nasıl dağıldığını görsel olarak gösterir. 1000/1000 adayında hem yanlış pozitif hem de yanlış negatif sayısı hedeflere göre daha dengeli kalmıştır.</w:t>
      </w:r>
    </w:p>
    <w:p>
      <w:r>
        <w:br w:type="page"/>
      </w:r>
    </w:p>
    <w:p>
      <w:pPr>
        <w:pStyle w:val="Heading1"/>
      </w:pPr>
      <w:r>
        <w:t>Temel Riskler ve Teknik Teşhis</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pPr>
              <w:jc w:val="center"/>
            </w:pPr>
            <w:r>
              <w:rPr>
                <w:b/>
                <w:color w:val="FFFFFF"/>
                <w:sz w:val="13"/>
              </w:rPr>
              <w:t>Risk</w:t>
            </w:r>
          </w:p>
        </w:tc>
        <w:tc>
          <w:tcPr>
            <w:tcW w:type="dxa" w:w="2664"/>
            <w:shd w:fill="1F4E79"/>
          </w:tcPr>
          <w:p>
            <w:pPr>
              <w:jc w:val="center"/>
            </w:pPr>
            <w:r>
              <w:rPr>
                <w:b/>
                <w:color w:val="FFFFFF"/>
                <w:sz w:val="13"/>
              </w:rPr>
              <w:t>Gözlenen kanıt</w:t>
            </w:r>
          </w:p>
        </w:tc>
        <w:tc>
          <w:tcPr>
            <w:tcW w:type="dxa" w:w="2664"/>
            <w:shd w:fill="1F4E79"/>
          </w:tcPr>
          <w:p>
            <w:pPr>
              <w:jc w:val="center"/>
            </w:pPr>
            <w:r>
              <w:rPr>
                <w:b/>
                <w:color w:val="FFFFFF"/>
                <w:sz w:val="13"/>
              </w:rPr>
              <w:t>Düzey</w:t>
            </w:r>
          </w:p>
        </w:tc>
        <w:tc>
          <w:tcPr>
            <w:tcW w:type="dxa" w:w="2664"/>
            <w:shd w:fill="1F4E79"/>
          </w:tcPr>
          <w:p>
            <w:pPr>
              <w:jc w:val="center"/>
            </w:pPr>
            <w:r>
              <w:rPr>
                <w:b/>
                <w:color w:val="FFFFFF"/>
                <w:sz w:val="13"/>
              </w:rPr>
              <w:t>Rapor dili / önlem</w:t>
            </w:r>
          </w:p>
        </w:tc>
      </w:tr>
      <w:tr>
        <w:tc>
          <w:tcPr>
            <w:tcW w:type="dxa" w:w="2664"/>
          </w:tcPr>
          <w:p>
            <w:pPr>
              <w:jc w:val="center"/>
            </w:pPr>
            <w:r>
              <w:rPr>
                <w:sz w:val="13"/>
              </w:rPr>
              <w:t>Sentetik veriye aşırı uyum</w:t>
            </w:r>
          </w:p>
        </w:tc>
        <w:tc>
          <w:tcPr>
            <w:tcW w:type="dxa" w:w="2664"/>
          </w:tcPr>
          <w:p>
            <w:pPr>
              <w:jc w:val="center"/>
            </w:pPr>
            <w:r>
              <w:rPr>
                <w:sz w:val="13"/>
              </w:rPr>
              <w:t>Sentetik holdout doğruluk %94.16, dış kontrol doğruluk %74.03. Fark %20.13.</w:t>
            </w:r>
          </w:p>
        </w:tc>
        <w:tc>
          <w:tcPr>
            <w:tcW w:type="dxa" w:w="2664"/>
          </w:tcPr>
          <w:p>
            <w:pPr>
              <w:jc w:val="center"/>
            </w:pPr>
            <w:r>
              <w:rPr>
                <w:sz w:val="13"/>
              </w:rPr>
              <w:t>Yüksek</w:t>
            </w:r>
          </w:p>
        </w:tc>
        <w:tc>
          <w:tcPr>
            <w:tcW w:type="dxa" w:w="2664"/>
          </w:tcPr>
          <w:p>
            <w:pPr>
              <w:jc w:val="center"/>
            </w:pPr>
            <w:r>
              <w:rPr>
                <w:sz w:val="13"/>
              </w:rPr>
              <w:t>Sonuç sentetik benchmark bağlamında yorumlanmalı; dış kontrol ayrı dış kontrol olarak kalmalı.</w:t>
            </w:r>
          </w:p>
        </w:tc>
      </w:tr>
      <w:tr>
        <w:tc>
          <w:tcPr>
            <w:tcW w:type="dxa" w:w="2664"/>
          </w:tcPr>
          <w:p>
            <w:pPr>
              <w:jc w:val="center"/>
            </w:pPr>
            <w:r>
              <w:rPr>
                <w:sz w:val="13"/>
              </w:rPr>
              <w:t>İmputasyon sızıntısı</w:t>
            </w:r>
          </w:p>
        </w:tc>
        <w:tc>
          <w:tcPr>
            <w:tcW w:type="dxa" w:w="2664"/>
          </w:tcPr>
          <w:p>
            <w:pPr>
              <w:jc w:val="center"/>
            </w:pPr>
            <w:r>
              <w:rPr>
                <w:sz w:val="13"/>
              </w:rPr>
              <w:t>Dış kontrol en başta ayrılmıştır; ancak daha sıkı çapraz doğrulama için fold-içi imputasyon ayrıca önerilir.</w:t>
            </w:r>
          </w:p>
        </w:tc>
        <w:tc>
          <w:tcPr>
            <w:tcW w:type="dxa" w:w="2664"/>
          </w:tcPr>
          <w:p>
            <w:pPr>
              <w:jc w:val="center"/>
            </w:pPr>
            <w:r>
              <w:rPr>
                <w:sz w:val="13"/>
              </w:rPr>
              <w:t>Düşük-orta</w:t>
            </w:r>
          </w:p>
        </w:tc>
        <w:tc>
          <w:tcPr>
            <w:tcW w:type="dxa" w:w="2664"/>
          </w:tcPr>
          <w:p>
            <w:pPr>
              <w:jc w:val="center"/>
            </w:pPr>
            <w:r>
              <w:rPr>
                <w:sz w:val="13"/>
              </w:rPr>
              <w:t>Final raporda dış kontrol izolasyonu ve fold-içi imputasyon sınırlılığı açık yazılmalı.</w:t>
            </w:r>
          </w:p>
        </w:tc>
      </w:tr>
      <w:tr>
        <w:tc>
          <w:tcPr>
            <w:tcW w:type="dxa" w:w="2664"/>
          </w:tcPr>
          <w:p>
            <w:pPr>
              <w:jc w:val="center"/>
            </w:pPr>
            <w:r>
              <w:rPr>
                <w:sz w:val="13"/>
              </w:rPr>
              <w:t>Yapay ayrışma</w:t>
            </w:r>
          </w:p>
        </w:tc>
        <w:tc>
          <w:tcPr>
            <w:tcW w:type="dxa" w:w="2664"/>
          </w:tcPr>
          <w:p>
            <w:pPr>
              <w:jc w:val="center"/>
            </w:pPr>
            <w:r>
              <w:rPr>
                <w:sz w:val="13"/>
              </w:rPr>
              <w:t>500/500 Cohen's d 0.836, shift 0.115; 1000/1000 Cohen's d 1.382, shift 0.112.</w:t>
            </w:r>
          </w:p>
        </w:tc>
        <w:tc>
          <w:tcPr>
            <w:tcW w:type="dxa" w:w="2664"/>
          </w:tcPr>
          <w:p>
            <w:pPr>
              <w:jc w:val="center"/>
            </w:pPr>
            <w:r>
              <w:rPr>
                <w:sz w:val="13"/>
              </w:rPr>
              <w:t>Orta</w:t>
            </w:r>
          </w:p>
        </w:tc>
        <w:tc>
          <w:tcPr>
            <w:tcW w:type="dxa" w:w="2664"/>
          </w:tcPr>
          <w:p>
            <w:pPr>
              <w:jc w:val="center"/>
            </w:pPr>
            <w:r>
              <w:rPr>
                <w:sz w:val="13"/>
              </w:rPr>
              <w:t>500/500 daha muhafazakar ancak hedef altı; 1000/1000 hedefi geçen ilk eşik olarak sunulmalı.</w:t>
            </w:r>
          </w:p>
        </w:tc>
      </w:tr>
      <w:tr>
        <w:tc>
          <w:tcPr>
            <w:tcW w:type="dxa" w:w="2664"/>
          </w:tcPr>
          <w:p>
            <w:pPr>
              <w:jc w:val="center"/>
            </w:pPr>
            <w:r>
              <w:rPr>
                <w:sz w:val="13"/>
              </w:rPr>
              <w:t>Küçük veri varyansı</w:t>
            </w:r>
          </w:p>
        </w:tc>
        <w:tc>
          <w:tcPr>
            <w:tcW w:type="dxa" w:w="2664"/>
          </w:tcPr>
          <w:p>
            <w:pPr>
              <w:jc w:val="center"/>
            </w:pPr>
            <w:r>
              <w:rPr>
                <w:sz w:val="13"/>
              </w:rPr>
              <w:t>Grup çapraz doğrulama min ana %91.31 ± 0.008.</w:t>
            </w:r>
          </w:p>
        </w:tc>
        <w:tc>
          <w:tcPr>
            <w:tcW w:type="dxa" w:w="2664"/>
          </w:tcPr>
          <w:p>
            <w:pPr>
              <w:jc w:val="center"/>
            </w:pPr>
            <w:r>
              <w:rPr>
                <w:sz w:val="13"/>
              </w:rPr>
              <w:t>Orta</w:t>
            </w:r>
          </w:p>
        </w:tc>
        <w:tc>
          <w:tcPr>
            <w:tcW w:type="dxa" w:w="2664"/>
          </w:tcPr>
          <w:p>
            <w:pPr>
              <w:jc w:val="center"/>
            </w:pPr>
            <w:r>
              <w:rPr>
                <w:sz w:val="13"/>
              </w:rPr>
              <w:t>Repeated grup çapraz doğrulama veya seed audit ek kontrol olarak önerilmeli.</w:t>
            </w:r>
          </w:p>
        </w:tc>
      </w:tr>
      <w:tr>
        <w:tc>
          <w:tcPr>
            <w:tcW w:type="dxa" w:w="2664"/>
          </w:tcPr>
          <w:p>
            <w:pPr>
              <w:jc w:val="center"/>
            </w:pPr>
            <w:r>
              <w:rPr>
                <w:sz w:val="13"/>
              </w:rPr>
              <w:t>Ensemble overfit</w:t>
            </w:r>
          </w:p>
        </w:tc>
        <w:tc>
          <w:tcPr>
            <w:tcW w:type="dxa" w:w="2664"/>
          </w:tcPr>
          <w:p>
            <w:pPr>
              <w:jc w:val="center"/>
            </w:pPr>
            <w:r>
              <w:rPr>
                <w:sz w:val="13"/>
              </w:rPr>
              <w:t>Final küçük adayda kompleks soft voting yerine ExtraTrees seçildi.</w:t>
            </w:r>
          </w:p>
        </w:tc>
        <w:tc>
          <w:tcPr>
            <w:tcW w:type="dxa" w:w="2664"/>
          </w:tcPr>
          <w:p>
            <w:pPr>
              <w:jc w:val="center"/>
            </w:pPr>
            <w:r>
              <w:rPr>
                <w:sz w:val="13"/>
              </w:rPr>
              <w:t>Orta</w:t>
            </w:r>
          </w:p>
        </w:tc>
        <w:tc>
          <w:tcPr>
            <w:tcW w:type="dxa" w:w="2664"/>
          </w:tcPr>
          <w:p>
            <w:pPr>
              <w:jc w:val="center"/>
            </w:pPr>
            <w:r>
              <w:rPr>
                <w:sz w:val="13"/>
              </w:rPr>
              <w:t>Basit modelin hedefi geçmesi, gereksiz ensemble karmaşıklığını azaltır.</w:t>
            </w:r>
          </w:p>
        </w:tc>
      </w:tr>
    </w:tbl>
    <w:p/>
    <w:p>
      <w:pPr>
        <w:jc w:val="center"/>
      </w:pPr>
      <w:r>
        <w:drawing>
          <wp:inline xmlns:a="http://schemas.openxmlformats.org/drawingml/2006/main" xmlns:pic="http://schemas.openxmlformats.org/drawingml/2006/picture">
            <wp:extent cx="5669280" cy="2519680"/>
            <wp:docPr id="4" name="Picture 4"/>
            <wp:cNvGraphicFramePr>
              <a:graphicFrameLocks noChangeAspect="1"/>
            </wp:cNvGraphicFramePr>
            <a:graphic>
              <a:graphicData uri="http://schemas.openxmlformats.org/drawingml/2006/picture">
                <pic:pic>
                  <pic:nvPicPr>
                    <pic:cNvPr id="0" name="risk_audit_risk_duzeyleri.png"/>
                    <pic:cNvPicPr/>
                  </pic:nvPicPr>
                  <pic:blipFill>
                    <a:blip r:embed="rId12"/>
                    <a:stretch>
                      <a:fillRect/>
                    </a:stretch>
                  </pic:blipFill>
                  <pic:spPr>
                    <a:xfrm>
                      <a:off x="0" y="0"/>
                      <a:ext cx="5669280" cy="2519680"/>
                    </a:xfrm>
                    <a:prstGeom prst="rect"/>
                  </pic:spPr>
                </pic:pic>
              </a:graphicData>
            </a:graphic>
          </wp:inline>
        </w:drawing>
      </w:r>
    </w:p>
    <w:p>
      <w:pPr>
        <w:jc w:val="center"/>
      </w:pPr>
      <w:r>
        <w:rPr>
          <w:i/>
          <w:sz w:val="15"/>
        </w:rPr>
        <w:t>Risk düzeyleri, raporda saklanmaması gereken teknik sınırlılıkları özetler.</w:t>
      </w:r>
    </w:p>
    <w:p>
      <w:r>
        <w:br w:type="page"/>
      </w:r>
    </w:p>
    <w:p>
      <w:pPr>
        <w:pStyle w:val="Heading1"/>
      </w:pPr>
      <w:r>
        <w:t>Hata Matrisi ve Dış Kontrol Yorumu</w:t>
      </w:r>
    </w:p>
    <w:p>
      <w:pPr>
        <w:spacing w:line="259" w:lineRule="auto" w:after="0"/>
      </w:pPr>
      <w:r>
        <w:t>Seçilen model sentetik holdout tarafında 16 yanlış negatif üretirken, dış kontrol tarafında 21 yanlış negatif üretmiştir. Bu fark, özellikle gerçek PIMA dağılımındaki sınır vakalarının sentetik benchmarktan daha zor olduğunu gösterir.</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1F4E79"/>
          </w:tcPr>
          <w:p>
            <w:pPr>
              <w:jc w:val="center"/>
            </w:pPr>
            <w:r>
              <w:rPr>
                <w:b/>
                <w:color w:val="FFFFFF"/>
                <w:sz w:val="14"/>
              </w:rPr>
              <w:t>Veri</w:t>
            </w:r>
          </w:p>
        </w:tc>
        <w:tc>
          <w:tcPr>
            <w:tcW w:type="dxa" w:w="1776"/>
            <w:shd w:fill="1F4E79"/>
          </w:tcPr>
          <w:p>
            <w:pPr>
              <w:jc w:val="center"/>
            </w:pPr>
            <w:r>
              <w:rPr>
                <w:b/>
                <w:color w:val="FFFFFF"/>
                <w:sz w:val="14"/>
              </w:rPr>
              <w:t>TN</w:t>
            </w:r>
          </w:p>
        </w:tc>
        <w:tc>
          <w:tcPr>
            <w:tcW w:type="dxa" w:w="1776"/>
            <w:shd w:fill="1F4E79"/>
          </w:tcPr>
          <w:p>
            <w:pPr>
              <w:jc w:val="center"/>
            </w:pPr>
            <w:r>
              <w:rPr>
                <w:b/>
                <w:color w:val="FFFFFF"/>
                <w:sz w:val="14"/>
              </w:rPr>
              <w:t>FP</w:t>
            </w:r>
          </w:p>
        </w:tc>
        <w:tc>
          <w:tcPr>
            <w:tcW w:type="dxa" w:w="1776"/>
            <w:shd w:fill="1F4E79"/>
          </w:tcPr>
          <w:p>
            <w:pPr>
              <w:jc w:val="center"/>
            </w:pPr>
            <w:r>
              <w:rPr>
                <w:b/>
                <w:color w:val="FFFFFF"/>
                <w:sz w:val="14"/>
              </w:rPr>
              <w:t>FN</w:t>
            </w:r>
          </w:p>
        </w:tc>
        <w:tc>
          <w:tcPr>
            <w:tcW w:type="dxa" w:w="1776"/>
            <w:shd w:fill="1F4E79"/>
          </w:tcPr>
          <w:p>
            <w:pPr>
              <w:jc w:val="center"/>
            </w:pPr>
            <w:r>
              <w:rPr>
                <w:b/>
                <w:color w:val="FFFFFF"/>
                <w:sz w:val="14"/>
              </w:rPr>
              <w:t>TP</w:t>
            </w:r>
          </w:p>
        </w:tc>
        <w:tc>
          <w:tcPr>
            <w:tcW w:type="dxa" w:w="1776"/>
            <w:shd w:fill="1F4E79"/>
          </w:tcPr>
          <w:p>
            <w:pPr>
              <w:jc w:val="center"/>
            </w:pPr>
            <w:r>
              <w:rPr>
                <w:b/>
                <w:color w:val="FFFFFF"/>
                <w:sz w:val="14"/>
              </w:rPr>
              <w:t>Yorum</w:t>
            </w:r>
          </w:p>
        </w:tc>
      </w:tr>
      <w:tr>
        <w:tc>
          <w:tcPr>
            <w:tcW w:type="dxa" w:w="1776"/>
          </w:tcPr>
          <w:p>
            <w:pPr>
              <w:jc w:val="center"/>
            </w:pPr>
            <w:r>
              <w:rPr>
                <w:sz w:val="14"/>
              </w:rPr>
              <w:t>Sentetik holdout</w:t>
            </w:r>
          </w:p>
        </w:tc>
        <w:tc>
          <w:tcPr>
            <w:tcW w:type="dxa" w:w="1776"/>
          </w:tcPr>
          <w:p>
            <w:pPr>
              <w:jc w:val="center"/>
            </w:pPr>
            <w:r>
              <w:rPr>
                <w:sz w:val="14"/>
              </w:rPr>
              <w:t>206</w:t>
            </w:r>
          </w:p>
        </w:tc>
        <w:tc>
          <w:tcPr>
            <w:tcW w:type="dxa" w:w="1776"/>
          </w:tcPr>
          <w:p>
            <w:pPr>
              <w:jc w:val="center"/>
            </w:pPr>
            <w:r>
              <w:rPr>
                <w:sz w:val="14"/>
              </w:rPr>
              <w:t>9</w:t>
            </w:r>
          </w:p>
        </w:tc>
        <w:tc>
          <w:tcPr>
            <w:tcW w:type="dxa" w:w="1776"/>
          </w:tcPr>
          <w:p>
            <w:pPr>
              <w:jc w:val="center"/>
            </w:pPr>
            <w:r>
              <w:rPr>
                <w:sz w:val="14"/>
              </w:rPr>
              <w:t>16</w:t>
            </w:r>
          </w:p>
        </w:tc>
        <w:tc>
          <w:tcPr>
            <w:tcW w:type="dxa" w:w="1776"/>
          </w:tcPr>
          <w:p>
            <w:pPr>
              <w:jc w:val="center"/>
            </w:pPr>
            <w:r>
              <w:rPr>
                <w:sz w:val="14"/>
              </w:rPr>
              <w:t>197</w:t>
            </w:r>
          </w:p>
        </w:tc>
        <w:tc>
          <w:tcPr>
            <w:tcW w:type="dxa" w:w="1776"/>
          </w:tcPr>
          <w:p>
            <w:pPr>
              <w:jc w:val="center"/>
            </w:pPr>
            <w:r>
              <w:rPr>
                <w:sz w:val="14"/>
              </w:rPr>
              <w:t>Hedef metrikler geçildi.</w:t>
            </w:r>
          </w:p>
        </w:tc>
      </w:tr>
      <w:tr>
        <w:tc>
          <w:tcPr>
            <w:tcW w:type="dxa" w:w="1776"/>
          </w:tcPr>
          <w:p>
            <w:pPr>
              <w:jc w:val="center"/>
            </w:pPr>
            <w:r>
              <w:rPr>
                <w:sz w:val="14"/>
              </w:rPr>
              <w:t>Dış kontrol</w:t>
            </w:r>
          </w:p>
        </w:tc>
        <w:tc>
          <w:tcPr>
            <w:tcW w:type="dxa" w:w="1776"/>
          </w:tcPr>
          <w:p>
            <w:pPr>
              <w:jc w:val="center"/>
            </w:pPr>
            <w:r>
              <w:rPr>
                <w:sz w:val="14"/>
              </w:rPr>
              <w:t>81</w:t>
            </w:r>
          </w:p>
        </w:tc>
        <w:tc>
          <w:tcPr>
            <w:tcW w:type="dxa" w:w="1776"/>
          </w:tcPr>
          <w:p>
            <w:pPr>
              <w:jc w:val="center"/>
            </w:pPr>
            <w:r>
              <w:rPr>
                <w:sz w:val="14"/>
              </w:rPr>
              <w:t>19</w:t>
            </w:r>
          </w:p>
        </w:tc>
        <w:tc>
          <w:tcPr>
            <w:tcW w:type="dxa" w:w="1776"/>
          </w:tcPr>
          <w:p>
            <w:pPr>
              <w:jc w:val="center"/>
            </w:pPr>
            <w:r>
              <w:rPr>
                <w:sz w:val="14"/>
              </w:rPr>
              <w:t>21</w:t>
            </w:r>
          </w:p>
        </w:tc>
        <w:tc>
          <w:tcPr>
            <w:tcW w:type="dxa" w:w="1776"/>
          </w:tcPr>
          <w:p>
            <w:pPr>
              <w:jc w:val="center"/>
            </w:pPr>
            <w:r>
              <w:rPr>
                <w:sz w:val="14"/>
              </w:rPr>
              <w:t>33</w:t>
            </w:r>
          </w:p>
        </w:tc>
        <w:tc>
          <w:tcPr>
            <w:tcW w:type="dxa" w:w="1776"/>
          </w:tcPr>
          <w:p>
            <w:pPr>
              <w:jc w:val="center"/>
            </w:pPr>
            <w:r>
              <w:rPr>
                <w:sz w:val="14"/>
              </w:rPr>
              <w:t>Gerçek PIMA transferi sınırlı.</w:t>
            </w:r>
          </w:p>
        </w:tc>
      </w:tr>
    </w:tbl>
    <w:p/>
    <w:p>
      <w:pPr>
        <w:spacing w:line="259" w:lineRule="auto" w:after="0"/>
      </w:pPr>
      <w:r>
        <w:t>Bu nedenle raporda en güvenli cümle şudur: 1000/1000 aday kaynak aile kontrollü sentetik benchmarkta hedefleri geçen en küçük adaydır; ancak orijinal dış kontrol sonucu, modelin gerçek PIMA dağılımına transferinde sınırlılık bulunduğunu göstermektedir.</w:t>
      </w:r>
    </w:p>
    <w:p>
      <w:pPr>
        <w:pStyle w:val="Heading1"/>
      </w:pPr>
      <w:r>
        <w:t>Sonuç</w:t>
      </w:r>
    </w:p>
    <w:p>
      <w:pPr>
        <w:spacing w:line="259" w:lineRule="auto" w:after="0"/>
      </w:pPr>
      <w:r>
        <w:t>500/500 kararı metodolojik olarak değerlidir, fakat hedef skorları tam karşılamadığı ve grup çapraz doğrulama tarafında daha zayıf kaldığı için final seçilmemelidir. 1000/1000 adayı, 500/500'e göre daha güçlü sınıf ayrımı sağlarken dağılım kaymasını benzer seviyede tutmuş ve hedefleri geçen ilk eşik olmuştur. Riskler saklanmadan raporlandığında çalışma tesadüfi yüksek skor üretimi değil, kontrollü benchmark mühendisliği olarak sunulabilir.</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