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Source ID Kontrollü Sentetik PIMA Benchmark Raporu</w:t>
      </w:r>
    </w:p>
    <w:p>
      <w:pPr>
        <w:spacing w:after="80" w:line="252" w:lineRule="auto"/>
      </w:pPr>
      <w:r>
        <w:t>Bu çalışmada PIMA diyabet veri seti üzerinde leakage kontrolü açıkça tanımlanmış, source_id aile yapısı korunan sentetik veri adayları üretilmiş ve sonuçlar hem holdout hem de Cross-Validation (CV) ile değerlendirilmiştir. ROC-AUC (Receiver Operating Characteristic - Area Under Curve), F1 (Precision ve Recall dengesini gösteren metrik) ve MCC (Matthews Correlation Coefficient) değerleri ayrı raporlanmıştır.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Orijinal veri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768 satır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Orijinal dağılım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500 negatif, 268 pozitif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Original dev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614 satır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External holdout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154 satır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Final benchmark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sentetik_2700_per_class_pima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4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jinal_pima_sinif_dagilim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</w:pPr>
      <w:r>
        <w:t>Orijinal external holdout, sentetik üretimden önce ayrılmış ve model geliştirme sürecine dahil edilmemiştir. Bu nedenle external holdout sonucu, sentetik benchmarktan ayrı bir dış kontrol performansı olarak değerlendirilmiştir.</w:t>
      </w:r>
    </w:p>
    <w:p>
      <w:r>
        <w:br w:type="page"/>
      </w:r>
    </w:p>
    <w:p>
      <w:pPr>
        <w:pStyle w:val="Heading1"/>
      </w:pPr>
      <w:r>
        <w:t>Leakage Kontrolü ve Source ID Aile Yapısı</w:t>
      </w:r>
    </w:p>
    <w:p>
      <w:pPr>
        <w:spacing w:after="80" w:line="252" w:lineRule="auto"/>
      </w:pPr>
      <w:r>
        <w:t>Sentetik veri üretiminde her orijinal PIMA satırı bir kaynak aile olarak kabul edilmiştir. Her orijinal satıra original_{index} formatında bir source_id atanmış, bu satırdan üretilen tüm sentetik örnekler aynı source_id değerini taşımıştır. Böylece aynı kaynak aileden gelen örneklerin hem eğitim hem de test tarafına düşmesi engellenmiştir.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355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Beklenen</w:t>
            </w:r>
          </w:p>
        </w:tc>
        <w:tc>
          <w:tcPr>
            <w:tcW w:type="dxa" w:w="355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Sonuç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Train/Test source_id kesişimi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CV fold source_id kesişimi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Exact duplicate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Near duplicate oranı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Düşük / 0'a yakın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Minimum mesafe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Raporlanır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0.0968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External holdout izolasyonu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Evet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Evet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Bağımsız synthetic source_id kaldı mı?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Hayır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>
              <w:rPr>
                <w:sz w:val="16"/>
              </w:rPr>
              <w:t>Hayır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11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etik_aday_sinif_dagilim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14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Veri adayı</w:t>
            </w:r>
          </w:p>
        </w:tc>
        <w:tc>
          <w:tcPr>
            <w:tcW w:type="dxa" w:w="2131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Orijinal</w:t>
            </w:r>
          </w:p>
        </w:tc>
        <w:tc>
          <w:tcPr>
            <w:tcW w:type="dxa" w:w="2131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Sentetik</w:t>
            </w:r>
          </w:p>
        </w:tc>
        <w:tc>
          <w:tcPr>
            <w:tcW w:type="dxa" w:w="2131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Toplam</w:t>
            </w:r>
          </w:p>
        </w:tc>
        <w:tc>
          <w:tcPr>
            <w:tcW w:type="dxa" w:w="2131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Dağılım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orijinal pima baseline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614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614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400 negatif, 214 pozitif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sentetik 2500 per class pima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614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4386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5000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2500 negatif, 2500 pozitif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sentetik 2700 per class pima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614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4786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5400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2700 negatif, 2700 pozitif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sentetik 5000 per class pima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614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9386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10000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>
              <w:rPr>
                <w:sz w:val="15"/>
              </w:rPr>
              <w:t>5000 negatif, 5000 pozitif</w:t>
            </w:r>
          </w:p>
        </w:tc>
      </w:tr>
    </w:tbl>
    <w:p/>
    <w:p>
      <w:r>
        <w:br w:type="page"/>
      </w:r>
    </w:p>
    <w:p>
      <w:pPr>
        <w:pStyle w:val="Heading1"/>
      </w:pPr>
      <w:r>
        <w:t>Holdout ve Group CV Sonuçları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91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etik_metrik_karsilasti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dout_group_cv_karsilastir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Veri</w:t>
            </w:r>
          </w:p>
        </w:tc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Model</w:t>
            </w:r>
          </w:p>
        </w:tc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Feature</w:t>
            </w:r>
          </w:p>
        </w:tc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Accuracy</w:t>
            </w:r>
          </w:p>
        </w:tc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F1</w:t>
            </w:r>
          </w:p>
        </w:tc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ROC-AUC</w:t>
            </w:r>
          </w:p>
        </w:tc>
        <w:tc>
          <w:tcPr>
            <w:tcW w:type="dxa" w:w="1522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Min ana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orijinal_pima_baseline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extra_trees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no_insulin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0.759 ± 0.033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0.657 ± 0.074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0.824 ± 0.043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0.614 ± 0.068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orijinal_pima_baseline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xgboost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no_skinthickness_no_insulin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0.765 ± 0.021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0.677 ± 0.068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0.835 ± 0.036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0.589 ± 0.054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2500/sınıf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random_forest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all_features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0.794 ± 0.032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0.792 ± 0.025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0.882 ± 0.026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0.711 ± 0.025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2500/sınıf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random_forest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no_insulin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0.787 ± 0.030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0.779 ± 0.041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0.873 ± 0.028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0.701 ± 0.043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2700/sınıf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xgboost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no_skinthickness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0.805 ± 0.032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0.808 ± 0.031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0.890 ± 0.037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0.782 ± 0.054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2700/sınıf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xgboost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all_features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0.805 ± 0.035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0.809 ± 0.037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0.888 ± 0.035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0.769 ± 0.045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5000/sınıf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extra_trees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no_skinthickness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0.807 ± 0.035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0.812 ± 0.031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0.886 ± 0.029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0.763 ± 0.050</w:t>
            </w:r>
          </w:p>
        </w:tc>
      </w:tr>
      <w:tr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5000/sınıf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xgboost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no_insulin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0.793 ± 0.019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0.798 ± 0.018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0.884 ± 0.019</w:t>
            </w:r>
          </w:p>
        </w:tc>
        <w:tc>
          <w:tcPr>
            <w:tcW w:type="dxa" w:w="1522"/>
            <w:vAlign w:val="center"/>
          </w:tcPr>
          <w:p>
            <w:pPr>
              <w:jc w:val="center"/>
            </w:pPr>
            <w:r>
              <w:rPr>
                <w:sz w:val="13"/>
              </w:rPr>
              <w:t>0.741 ± 0.047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Model, Confusion Matrix ve Kalibrasyon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Alan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Değer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Final veri adayı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sentetik_2700_per_class_pima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Model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xgboost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Feature set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no_skinthickness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Çıkarılan feature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SkinThickness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Threshold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0.535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Holdout Accuracy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%81.25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Holdout F1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%81.76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Holdout ROC-AUC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%89.14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Group CV Accuracy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7"/>
              </w:rPr>
              <w:t>%80.46 ± 0.032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49039" cy="3213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21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154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alibratio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57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r_score_karsilastirm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52" w:lineRule="auto"/>
      </w:pPr>
      <w:r>
        <w:t>Brier score düşük olduğunda olasılık tahmini daha güvenilir kabul edilir. Bu değer, sınıflandırma başarısından ayrı olarak modelin olasılık kalibrasyonunu yorumlamak için kullanılmıştır.</w:t>
      </w:r>
    </w:p>
    <w:p>
      <w:r>
        <w:br w:type="page"/>
      </w:r>
    </w:p>
    <w:p>
      <w:pPr>
        <w:pStyle w:val="Heading1"/>
      </w:pPr>
      <w:r>
        <w:t>Feature Yorumu, External Holdout ve Sonuç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43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External holdout metriği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Accuracy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%75.97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Precision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%63.49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Recall / Sensitivity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%74.07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Specificity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%77.00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F1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%68.38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ROC-AUC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%81.85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Balanced accuracy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%75.54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MCC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0.496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Brier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>
              <w:rPr>
                <w:sz w:val="16"/>
              </w:rPr>
              <w:t>0.178</w:t>
            </w:r>
          </w:p>
        </w:tc>
      </w:tr>
    </w:tbl>
    <w:p/>
    <w:p>
      <w:pPr>
        <w:spacing w:after="80" w:line="252" w:lineRule="auto"/>
      </w:pPr>
      <w:r>
        <w:t>Sentetik benchmark sonuçları ile orijinal PIMA external holdout sonuçları aynı anlamda yorumlanmamıştır. Sentetik benchmark, kontrollü veri artırımı sonrası modelin ayrıştırma gücünü; orijinal external holdout ise gerçek veri üzerindeki dış kontrol performansını göstermektedir.</w:t>
      </w:r>
    </w:p>
    <w:p>
      <w:pPr>
        <w:spacing w:after="80" w:line="252" w:lineRule="auto"/>
      </w:pPr>
      <w:r>
        <w:t>Bu çalışmada kontrollü sentetik benchmark üzerinde yüksek performans elde edilmiştir. Buna karşın bu sonuçlar, dış veri setleriyle desteklenmeden klinik genellenebilirlik kanıtı olarak yorumlanmamalıdır. Leakage kontrolü, aile bazlı source_id ayrımı ve kopya kontrolleriyle desteklenmiştir.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