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F3322" w14:textId="77777777" w:rsidR="00B8768C" w:rsidRDefault="0055272F">
      <w:pPr>
        <w:pStyle w:val="Heading1"/>
        <w:rPr>
          <w:rFonts w:eastAsia="Times New Roman" w:cs="Times New Roman"/>
        </w:rPr>
      </w:pPr>
      <w:r>
        <w:rPr>
          <w:rFonts w:eastAsia="Times New Roman" w:cs="Times New Roman"/>
        </w:rPr>
        <w:t>Concept paper</w:t>
      </w:r>
    </w:p>
    <w:p w14:paraId="3F397E96" w14:textId="77777777" w:rsidR="00B8768C" w:rsidRDefault="0055272F">
      <w:pPr>
        <w:numPr>
          <w:ilvl w:val="0"/>
          <w:numId w:val="6"/>
        </w:numPr>
        <w:spacing w:before="100" w:beforeAutospacing="1" w:after="100" w:afterAutospacing="1"/>
        <w:rPr>
          <w:rFonts w:eastAsia="Times New Roman" w:cs="Times New Roman"/>
        </w:rPr>
      </w:pPr>
      <w:proofErr w:type="gramStart"/>
      <w:r>
        <w:rPr>
          <w:rFonts w:eastAsia="Times New Roman" w:cs="Times New Roman"/>
        </w:rPr>
        <w:t>impact</w:t>
      </w:r>
      <w:proofErr w:type="gramEnd"/>
      <w:r>
        <w:rPr>
          <w:rFonts w:eastAsia="Times New Roman" w:cs="Times New Roman"/>
        </w:rPr>
        <w:t xml:space="preserve"> -- </w:t>
      </w:r>
      <w:r>
        <w:rPr>
          <w:rStyle w:val="Emphasis"/>
          <w:rFonts w:eastAsia="Times New Roman" w:cs="Times New Roman"/>
        </w:rPr>
        <w:t>disruptive</w:t>
      </w:r>
    </w:p>
    <w:p w14:paraId="1BBA152A" w14:textId="77777777" w:rsidR="00B8768C" w:rsidRDefault="0055272F">
      <w:pPr>
        <w:numPr>
          <w:ilvl w:val="0"/>
          <w:numId w:val="6"/>
        </w:numPr>
        <w:spacing w:before="100" w:beforeAutospacing="1" w:after="100" w:afterAutospacing="1"/>
        <w:rPr>
          <w:rFonts w:eastAsia="Times New Roman" w:cs="Times New Roman"/>
        </w:rPr>
      </w:pPr>
      <w:proofErr w:type="gramStart"/>
      <w:r>
        <w:rPr>
          <w:rFonts w:eastAsia="Times New Roman" w:cs="Times New Roman"/>
        </w:rPr>
        <w:t>figure</w:t>
      </w:r>
      <w:proofErr w:type="gramEnd"/>
    </w:p>
    <w:p w14:paraId="4CCAA979" w14:textId="77777777" w:rsidR="00B8768C" w:rsidRDefault="0055272F">
      <w:pPr>
        <w:numPr>
          <w:ilvl w:val="0"/>
          <w:numId w:val="6"/>
        </w:numPr>
        <w:spacing w:before="100" w:beforeAutospacing="1" w:after="100" w:afterAutospacing="1"/>
        <w:rPr>
          <w:rFonts w:eastAsia="Times New Roman" w:cs="Times New Roman"/>
        </w:rPr>
      </w:pPr>
      <w:proofErr w:type="gramStart"/>
      <w:r>
        <w:rPr>
          <w:rFonts w:eastAsia="Times New Roman" w:cs="Times New Roman"/>
        </w:rPr>
        <w:t>methanol</w:t>
      </w:r>
      <w:proofErr w:type="gramEnd"/>
      <w:r>
        <w:rPr>
          <w:rFonts w:eastAsia="Times New Roman" w:cs="Times New Roman"/>
        </w:rPr>
        <w:t xml:space="preserve"> economy better than hydrogen</w:t>
      </w:r>
    </w:p>
    <w:p w14:paraId="15D47029" w14:textId="77777777" w:rsidR="00B8768C" w:rsidRDefault="0055272F">
      <w:pPr>
        <w:numPr>
          <w:ilvl w:val="0"/>
          <w:numId w:val="6"/>
        </w:numPr>
        <w:spacing w:before="100" w:beforeAutospacing="1" w:after="100" w:afterAutospacing="1"/>
        <w:rPr>
          <w:rFonts w:eastAsia="Times New Roman" w:cs="Times New Roman"/>
        </w:rPr>
      </w:pPr>
      <w:proofErr w:type="gramStart"/>
      <w:r>
        <w:rPr>
          <w:rFonts w:eastAsia="Times New Roman" w:cs="Times New Roman"/>
        </w:rPr>
        <w:t>incremental</w:t>
      </w:r>
      <w:proofErr w:type="gramEnd"/>
      <w:r>
        <w:rPr>
          <w:rFonts w:eastAsia="Times New Roman" w:cs="Times New Roman"/>
        </w:rPr>
        <w:t xml:space="preserve"> market introduction</w:t>
      </w:r>
    </w:p>
    <w:p w14:paraId="11DF8946" w14:textId="77777777" w:rsidR="00B8768C" w:rsidRDefault="0055272F">
      <w:pPr>
        <w:numPr>
          <w:ilvl w:val="0"/>
          <w:numId w:val="6"/>
        </w:numPr>
        <w:spacing w:before="100" w:beforeAutospacing="1" w:after="100" w:afterAutospacing="1"/>
        <w:rPr>
          <w:rFonts w:eastAsia="Times New Roman" w:cs="Times New Roman"/>
        </w:rPr>
      </w:pPr>
      <w:proofErr w:type="gramStart"/>
      <w:r>
        <w:rPr>
          <w:rFonts w:eastAsia="Times New Roman" w:cs="Times New Roman"/>
        </w:rPr>
        <w:t>target</w:t>
      </w:r>
      <w:proofErr w:type="gramEnd"/>
      <w:r>
        <w:rPr>
          <w:rFonts w:eastAsia="Times New Roman" w:cs="Times New Roman"/>
        </w:rPr>
        <w:t xml:space="preserve"> energy density (volumetric &amp; gravimetric)</w:t>
      </w:r>
    </w:p>
    <w:p w14:paraId="47A1F4A2" w14:textId="60557C60" w:rsidR="00B8768C" w:rsidRDefault="00C753C7">
      <w:pPr>
        <w:numPr>
          <w:ilvl w:val="0"/>
          <w:numId w:val="6"/>
        </w:numPr>
        <w:spacing w:before="100" w:beforeAutospacing="1" w:after="100" w:afterAutospacing="1"/>
        <w:rPr>
          <w:rFonts w:eastAsia="Times New Roman" w:cs="Times New Roman"/>
        </w:rPr>
      </w:pPr>
      <w:proofErr w:type="gramStart"/>
      <w:r>
        <w:rPr>
          <w:rFonts w:eastAsia="Times New Roman" w:cs="Times New Roman"/>
        </w:rPr>
        <w:t>address</w:t>
      </w:r>
      <w:proofErr w:type="gramEnd"/>
      <w:r>
        <w:rPr>
          <w:rFonts w:eastAsia="Times New Roman" w:cs="Times New Roman"/>
        </w:rPr>
        <w:t xml:space="preserve"> C</w:t>
      </w:r>
      <w:r w:rsidR="0055272F">
        <w:rPr>
          <w:rFonts w:eastAsia="Times New Roman" w:cs="Times New Roman"/>
        </w:rPr>
        <w:t>O</w:t>
      </w:r>
      <w:r w:rsidR="0055272F" w:rsidRPr="00C753C7">
        <w:rPr>
          <w:rFonts w:eastAsia="Times New Roman" w:cs="Times New Roman"/>
          <w:vertAlign w:val="subscript"/>
        </w:rPr>
        <w:t>2</w:t>
      </w:r>
      <w:r w:rsidR="0055272F">
        <w:rPr>
          <w:rFonts w:eastAsia="Times New Roman" w:cs="Times New Roman"/>
        </w:rPr>
        <w:t xml:space="preserve"> </w:t>
      </w:r>
    </w:p>
    <w:p w14:paraId="2B32B927" w14:textId="77777777" w:rsidR="00B8768C" w:rsidRDefault="0055272F">
      <w:pPr>
        <w:pStyle w:val="Heading2"/>
        <w:rPr>
          <w:rFonts w:eastAsia="Times New Roman" w:cs="Times New Roman"/>
        </w:rPr>
      </w:pPr>
      <w:r>
        <w:rPr>
          <w:rFonts w:eastAsia="Times New Roman" w:cs="Times New Roman"/>
        </w:rPr>
        <w:t>Task assignment</w:t>
      </w:r>
    </w:p>
    <w:p w14:paraId="53F5DFE3" w14:textId="77777777" w:rsidR="00B8768C" w:rsidRDefault="0055272F">
      <w:pPr>
        <w:numPr>
          <w:ilvl w:val="0"/>
          <w:numId w:val="7"/>
        </w:numPr>
        <w:spacing w:before="100" w:beforeAutospacing="1" w:after="100" w:afterAutospacing="1"/>
        <w:rPr>
          <w:rFonts w:eastAsia="Times New Roman" w:cs="Times New Roman"/>
        </w:rPr>
      </w:pPr>
      <w:proofErr w:type="gramStart"/>
      <w:r>
        <w:rPr>
          <w:rFonts w:eastAsia="Times New Roman" w:cs="Times New Roman"/>
        </w:rPr>
        <w:t>manufacturing</w:t>
      </w:r>
      <w:proofErr w:type="gramEnd"/>
      <w:r>
        <w:rPr>
          <w:rFonts w:eastAsia="Times New Roman" w:cs="Times New Roman"/>
        </w:rPr>
        <w:t>: PGI</w:t>
      </w:r>
    </w:p>
    <w:p w14:paraId="1A9AF5B0" w14:textId="6AB1E8C3" w:rsidR="00B8768C" w:rsidRDefault="0055272F">
      <w:pPr>
        <w:numPr>
          <w:ilvl w:val="0"/>
          <w:numId w:val="7"/>
        </w:numPr>
        <w:spacing w:before="100" w:beforeAutospacing="1" w:after="100" w:afterAutospacing="1"/>
        <w:rPr>
          <w:rFonts w:eastAsia="Times New Roman" w:cs="Times New Roman"/>
        </w:rPr>
      </w:pPr>
      <w:proofErr w:type="gramStart"/>
      <w:r>
        <w:rPr>
          <w:rFonts w:eastAsia="Times New Roman" w:cs="Times New Roman"/>
        </w:rPr>
        <w:t>battery</w:t>
      </w:r>
      <w:proofErr w:type="gramEnd"/>
      <w:r>
        <w:rPr>
          <w:rFonts w:eastAsia="Times New Roman" w:cs="Times New Roman"/>
        </w:rPr>
        <w:t xml:space="preserve"> development: </w:t>
      </w:r>
      <w:proofErr w:type="spellStart"/>
      <w:r>
        <w:rPr>
          <w:rFonts w:eastAsia="Times New Roman" w:cs="Times New Roman"/>
        </w:rPr>
        <w:t>Chunmei</w:t>
      </w:r>
      <w:proofErr w:type="spellEnd"/>
    </w:p>
    <w:p w14:paraId="45D01BD5" w14:textId="77777777" w:rsidR="00B8768C" w:rsidRDefault="0055272F">
      <w:pPr>
        <w:numPr>
          <w:ilvl w:val="0"/>
          <w:numId w:val="7"/>
        </w:numPr>
        <w:spacing w:before="100" w:beforeAutospacing="1" w:after="100" w:afterAutospacing="1"/>
        <w:rPr>
          <w:rFonts w:eastAsia="Times New Roman" w:cs="Times New Roman"/>
        </w:rPr>
      </w:pPr>
      <w:r>
        <w:rPr>
          <w:rFonts w:eastAsia="Times New Roman" w:cs="Times New Roman"/>
        </w:rPr>
        <w:t xml:space="preserve">Stabilize </w:t>
      </w:r>
      <w:proofErr w:type="spellStart"/>
      <w:r>
        <w:rPr>
          <w:rFonts w:eastAsia="Times New Roman" w:cs="Times New Roman"/>
        </w:rPr>
        <w:t>Pt</w:t>
      </w:r>
      <w:proofErr w:type="gramStart"/>
      <w:r>
        <w:rPr>
          <w:rFonts w:eastAsia="Times New Roman" w:cs="Times New Roman"/>
        </w:rPr>
        <w:t>:Ru</w:t>
      </w:r>
      <w:proofErr w:type="spellEnd"/>
      <w:proofErr w:type="gramEnd"/>
      <w:r>
        <w:rPr>
          <w:rFonts w:eastAsia="Times New Roman" w:cs="Times New Roman"/>
        </w:rPr>
        <w:t xml:space="preserve"> catalyst: Steve</w:t>
      </w:r>
    </w:p>
    <w:p w14:paraId="5BC88B60" w14:textId="77777777" w:rsidR="00B8768C" w:rsidRDefault="0055272F">
      <w:pPr>
        <w:numPr>
          <w:ilvl w:val="0"/>
          <w:numId w:val="7"/>
        </w:numPr>
        <w:spacing w:before="100" w:beforeAutospacing="1" w:after="100" w:afterAutospacing="1"/>
        <w:rPr>
          <w:rFonts w:eastAsia="Times New Roman" w:cs="Times New Roman"/>
        </w:rPr>
      </w:pPr>
      <w:r>
        <w:rPr>
          <w:rFonts w:eastAsia="Times New Roman" w:cs="Times New Roman"/>
        </w:rPr>
        <w:t>Methanol concentration/crossover (MEA): Branden</w:t>
      </w:r>
    </w:p>
    <w:p w14:paraId="3797C947" w14:textId="77777777" w:rsidR="00B8768C" w:rsidRDefault="0055272F">
      <w:pPr>
        <w:pStyle w:val="Heading2"/>
        <w:rPr>
          <w:rFonts w:eastAsia="Times New Roman" w:cs="Times New Roman"/>
        </w:rPr>
      </w:pPr>
      <w:r>
        <w:rPr>
          <w:rFonts w:eastAsia="Times New Roman" w:cs="Times New Roman"/>
        </w:rPr>
        <w:t>Outline</w:t>
      </w:r>
    </w:p>
    <w:p w14:paraId="551175BE" w14:textId="20321EEE" w:rsidR="00B8768C" w:rsidRDefault="0055272F">
      <w:pPr>
        <w:pStyle w:val="NormalWeb"/>
      </w:pPr>
      <w:r>
        <w:rPr>
          <w:rStyle w:val="Emphasis"/>
        </w:rPr>
        <w:t>Opening Line</w:t>
      </w:r>
      <w:r>
        <w:t xml:space="preserve"> </w:t>
      </w:r>
      <w:r w:rsidR="00301FED">
        <w:t>Combining energy generation and storage decouples power from energy.</w:t>
      </w:r>
      <w:r w:rsidR="00301FED">
        <w:br/>
      </w:r>
      <w:r w:rsidR="00574BDF">
        <w:t>Next generation technologies, from portable electronics to transportation to development of the next generation smart grid are impeded by insufficient power systems.</w:t>
      </w:r>
      <w:bookmarkStart w:id="0" w:name="_GoBack"/>
      <w:bookmarkEnd w:id="0"/>
    </w:p>
    <w:p w14:paraId="19DEE8C5" w14:textId="77777777" w:rsidR="00B8768C" w:rsidRDefault="0055272F">
      <w:pPr>
        <w:pStyle w:val="NormalWeb"/>
      </w:pPr>
      <w:r>
        <w:t>A hybrid battery-fuel cell power system joins the energy density and generation properties of a fuel cell with the power response of batteries.</w:t>
      </w:r>
    </w:p>
    <w:p w14:paraId="179492E1" w14:textId="77777777" w:rsidR="00B8768C" w:rsidRDefault="0055272F">
      <w:pPr>
        <w:pStyle w:val="NormalWeb"/>
      </w:pPr>
      <w:r>
        <w:t>Combining energy generation and energy storage results in a capacity multiplier.</w:t>
      </w:r>
    </w:p>
    <w:p w14:paraId="39D375E4" w14:textId="77777777" w:rsidR="00B8768C" w:rsidRDefault="0055272F">
      <w:pPr>
        <w:pStyle w:val="NormalWeb"/>
      </w:pPr>
      <w:r>
        <w:t>Combining a fuel cell and battery into a hybrid power system leverages the strengths of the one in support of the weaknesses of the other.</w:t>
      </w:r>
    </w:p>
    <w:p w14:paraId="005E6F7E" w14:textId="77777777" w:rsidR="00B8768C" w:rsidRDefault="0055272F">
      <w:pPr>
        <w:pStyle w:val="NormalWeb"/>
      </w:pPr>
      <w:r>
        <w:t>The choice of fuel cell and battery technologies are an optimization that requires careful consideration of application-specific demands.</w:t>
      </w:r>
    </w:p>
    <w:p w14:paraId="41E7E913" w14:textId="5524F040" w:rsidR="00B8768C" w:rsidRDefault="0055272F">
      <w:pPr>
        <w:pStyle w:val="NormalWeb"/>
      </w:pPr>
      <w:r>
        <w:t xml:space="preserve">This project will </w:t>
      </w:r>
      <w:r w:rsidR="00446AA5">
        <w:t>advance the energy generation and energy storage components, and combine these into a power device that will be</w:t>
      </w:r>
      <w:r w:rsidR="0042328B">
        <w:t xml:space="preserve"> immediately</w:t>
      </w:r>
      <w:r w:rsidR="00446AA5">
        <w:t xml:space="preserve"> disruptive in </w:t>
      </w:r>
      <w:r>
        <w:t>low-to-mid-level portable power</w:t>
      </w:r>
      <w:r w:rsidR="0042328B">
        <w:t xml:space="preserve"> applications. Developments in this space will likely lead to</w:t>
      </w:r>
      <w:r>
        <w:t xml:space="preserve"> </w:t>
      </w:r>
      <w:r w:rsidR="00446AA5">
        <w:t xml:space="preserve">revolutionary, </w:t>
      </w:r>
      <w:r>
        <w:t>near-term implications in the transportation (EV) market.</w:t>
      </w:r>
    </w:p>
    <w:p w14:paraId="78E54F7F" w14:textId="77777777" w:rsidR="00B8768C" w:rsidRDefault="0055272F">
      <w:pPr>
        <w:pStyle w:val="Heading3"/>
        <w:rPr>
          <w:rFonts w:eastAsia="Times New Roman" w:cs="Times New Roman"/>
        </w:rPr>
      </w:pPr>
      <w:r>
        <w:rPr>
          <w:rFonts w:eastAsia="Times New Roman" w:cs="Times New Roman"/>
        </w:rPr>
        <w:t>Fuel Cell</w:t>
      </w:r>
    </w:p>
    <w:p w14:paraId="1027C250" w14:textId="77777777" w:rsidR="00B8768C" w:rsidRDefault="0055272F">
      <w:pPr>
        <w:pStyle w:val="NormalWeb"/>
      </w:pPr>
      <w:r>
        <w:t xml:space="preserve">There are many fuel cell technologies available: hydrogen, direct alcohol, molten carbonate, </w:t>
      </w:r>
      <w:proofErr w:type="gramStart"/>
      <w:r>
        <w:t>solid</w:t>
      </w:r>
      <w:proofErr w:type="gramEnd"/>
      <w:r>
        <w:t xml:space="preserve"> oxide.</w:t>
      </w:r>
    </w:p>
    <w:p w14:paraId="60561E40" w14:textId="77777777" w:rsidR="00B8768C" w:rsidRDefault="0055272F">
      <w:pPr>
        <w:pStyle w:val="NormalWeb"/>
      </w:pPr>
      <w:r>
        <w:t>The scalability of fuel cells decouples power and energy capacity.</w:t>
      </w:r>
    </w:p>
    <w:p w14:paraId="62D35703" w14:textId="77777777" w:rsidR="00B8768C" w:rsidRDefault="0055272F">
      <w:pPr>
        <w:pStyle w:val="NormalWeb"/>
        <w:numPr>
          <w:ilvl w:val="0"/>
          <w:numId w:val="8"/>
        </w:numPr>
      </w:pPr>
      <w:r>
        <w:t>Type of fuel cell</w:t>
      </w:r>
    </w:p>
    <w:p w14:paraId="60BDFF28" w14:textId="77777777" w:rsidR="00B8768C" w:rsidRDefault="0055272F">
      <w:pPr>
        <w:pStyle w:val="NormalWeb"/>
        <w:numPr>
          <w:ilvl w:val="1"/>
          <w:numId w:val="8"/>
        </w:numPr>
      </w:pPr>
      <w:proofErr w:type="gramStart"/>
      <w:r>
        <w:t>low</w:t>
      </w:r>
      <w:proofErr w:type="gramEnd"/>
      <w:r>
        <w:t xml:space="preserve"> T: hydrogen, direct methanol, set fuel type, but more efficient for both small scale and intermittent applications.</w:t>
      </w:r>
    </w:p>
    <w:p w14:paraId="73F27F0A" w14:textId="77777777" w:rsidR="00B8768C" w:rsidRDefault="0055272F">
      <w:pPr>
        <w:pStyle w:val="NormalWeb"/>
        <w:numPr>
          <w:ilvl w:val="1"/>
          <w:numId w:val="8"/>
        </w:numPr>
      </w:pPr>
      <w:proofErr w:type="gramStart"/>
      <w:r>
        <w:lastRenderedPageBreak/>
        <w:t>high</w:t>
      </w:r>
      <w:proofErr w:type="gramEnd"/>
      <w:r>
        <w:t xml:space="preserve"> T: molten carbonate, solid oxide, flexible fuel, but inefficient for small scale and intermittent applications.</w:t>
      </w:r>
    </w:p>
    <w:p w14:paraId="390096D9" w14:textId="77777777" w:rsidR="00B8768C" w:rsidRDefault="0055272F">
      <w:pPr>
        <w:pStyle w:val="NormalWeb"/>
        <w:numPr>
          <w:ilvl w:val="0"/>
          <w:numId w:val="8"/>
        </w:numPr>
      </w:pPr>
      <w:r>
        <w:t>Hydrogen vs. methanol</w:t>
      </w:r>
    </w:p>
    <w:p w14:paraId="66A7D22E" w14:textId="77777777" w:rsidR="00B8768C" w:rsidRDefault="0055272F">
      <w:pPr>
        <w:pStyle w:val="NormalWeb"/>
        <w:numPr>
          <w:ilvl w:val="1"/>
          <w:numId w:val="8"/>
        </w:numPr>
      </w:pPr>
      <w:r>
        <w:t xml:space="preserve">Methanol and hydrogen have comparable energy capacities. </w:t>
      </w:r>
      <w:hyperlink r:id="rId6" w:tooltip="Aricò, A., Baglio, V. &amp; Antonucci, V. in Electrocatal. Direct Methanol Fuel Cells 1-78 (2009)." w:history="1">
        <w:r>
          <w:rPr>
            <w:rStyle w:val="Hyperlink"/>
          </w:rPr>
          <w:t>(Arico2009)</w:t>
        </w:r>
      </w:hyperlink>
      <w:r>
        <w:t xml:space="preserve">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514"/>
        <w:gridCol w:w="1377"/>
        <w:gridCol w:w="1413"/>
      </w:tblGrid>
      <w:tr w:rsidR="00B8768C" w14:paraId="64B2E375" w14:textId="77777777">
        <w:trPr>
          <w:tblCellSpacing w:w="15" w:type="dxa"/>
        </w:trPr>
        <w:tc>
          <w:tcPr>
            <w:tcW w:w="0" w:type="auto"/>
            <w:vAlign w:val="center"/>
            <w:hideMark/>
          </w:tcPr>
          <w:p w14:paraId="4F371643" w14:textId="77777777" w:rsidR="00B8768C" w:rsidRDefault="0055272F">
            <w:pPr>
              <w:jc w:val="center"/>
              <w:rPr>
                <w:rFonts w:eastAsia="Times New Roman" w:cs="Times New Roman"/>
                <w:b/>
                <w:bCs/>
              </w:rPr>
            </w:pPr>
            <w:r>
              <w:rPr>
                <w:rFonts w:eastAsia="Times New Roman" w:cs="Times New Roman"/>
                <w:b/>
                <w:bCs/>
              </w:rPr>
              <w:t>Fuel</w:t>
            </w:r>
          </w:p>
        </w:tc>
        <w:tc>
          <w:tcPr>
            <w:tcW w:w="0" w:type="auto"/>
            <w:vAlign w:val="center"/>
            <w:hideMark/>
          </w:tcPr>
          <w:p w14:paraId="0F5DE33B" w14:textId="77777777" w:rsidR="00B8768C" w:rsidRDefault="0055272F">
            <w:pPr>
              <w:jc w:val="center"/>
              <w:rPr>
                <w:rFonts w:eastAsia="Times New Roman" w:cs="Times New Roman"/>
                <w:b/>
                <w:bCs/>
              </w:rPr>
            </w:pPr>
            <w:r>
              <w:rPr>
                <w:rFonts w:eastAsia="Times New Roman" w:cs="Times New Roman"/>
                <w:b/>
                <w:bCs/>
              </w:rPr>
              <w:t>Energy Density</w:t>
            </w:r>
            <w:r>
              <w:rPr>
                <w:rFonts w:eastAsia="Times New Roman" w:cs="Times New Roman"/>
                <w:b/>
                <w:bCs/>
              </w:rPr>
              <w:br/>
              <w:t>(</w:t>
            </w:r>
            <w:proofErr w:type="spellStart"/>
            <w:r>
              <w:rPr>
                <w:rFonts w:eastAsia="Times New Roman" w:cs="Times New Roman"/>
                <w:b/>
                <w:bCs/>
              </w:rPr>
              <w:t>Wh</w:t>
            </w:r>
            <w:proofErr w:type="spellEnd"/>
            <w:r>
              <w:rPr>
                <w:rFonts w:eastAsia="Times New Roman" w:cs="Times New Roman"/>
                <w:b/>
                <w:bCs/>
              </w:rPr>
              <w:t>/L)</w:t>
            </w:r>
          </w:p>
        </w:tc>
        <w:tc>
          <w:tcPr>
            <w:tcW w:w="0" w:type="auto"/>
            <w:vAlign w:val="center"/>
            <w:hideMark/>
          </w:tcPr>
          <w:p w14:paraId="1FE30E93" w14:textId="77777777" w:rsidR="00B8768C" w:rsidRDefault="0055272F">
            <w:pPr>
              <w:jc w:val="center"/>
              <w:rPr>
                <w:rFonts w:eastAsia="Times New Roman" w:cs="Times New Roman"/>
                <w:b/>
                <w:bCs/>
              </w:rPr>
            </w:pPr>
            <w:r>
              <w:rPr>
                <w:rFonts w:eastAsia="Times New Roman" w:cs="Times New Roman"/>
                <w:b/>
                <w:bCs/>
              </w:rPr>
              <w:t>Specific Energy</w:t>
            </w:r>
            <w:r>
              <w:rPr>
                <w:rFonts w:eastAsia="Times New Roman" w:cs="Times New Roman"/>
                <w:b/>
                <w:bCs/>
              </w:rPr>
              <w:br/>
              <w:t>(</w:t>
            </w:r>
            <w:proofErr w:type="spellStart"/>
            <w:r>
              <w:rPr>
                <w:rFonts w:eastAsia="Times New Roman" w:cs="Times New Roman"/>
                <w:b/>
                <w:bCs/>
              </w:rPr>
              <w:t>Wh</w:t>
            </w:r>
            <w:proofErr w:type="spellEnd"/>
            <w:r>
              <w:rPr>
                <w:rFonts w:eastAsia="Times New Roman" w:cs="Times New Roman"/>
                <w:b/>
                <w:bCs/>
              </w:rPr>
              <w:t>/kg)</w:t>
            </w:r>
          </w:p>
        </w:tc>
      </w:tr>
      <w:tr w:rsidR="00B8768C" w14:paraId="58CC00E6" w14:textId="77777777">
        <w:trPr>
          <w:tblCellSpacing w:w="15" w:type="dxa"/>
        </w:trPr>
        <w:tc>
          <w:tcPr>
            <w:tcW w:w="0" w:type="auto"/>
            <w:vAlign w:val="center"/>
            <w:hideMark/>
          </w:tcPr>
          <w:p w14:paraId="3DCCF956" w14:textId="77777777" w:rsidR="00B8768C" w:rsidRDefault="0055272F">
            <w:pPr>
              <w:rPr>
                <w:rFonts w:eastAsia="Times New Roman" w:cs="Times New Roman"/>
              </w:rPr>
            </w:pPr>
            <w:r>
              <w:rPr>
                <w:rFonts w:eastAsia="Times New Roman" w:cs="Times New Roman"/>
              </w:rPr>
              <w:t>Methanol</w:t>
            </w:r>
          </w:p>
        </w:tc>
        <w:tc>
          <w:tcPr>
            <w:tcW w:w="0" w:type="auto"/>
            <w:vAlign w:val="center"/>
            <w:hideMark/>
          </w:tcPr>
          <w:p w14:paraId="7B863F6A" w14:textId="77777777" w:rsidR="00B8768C" w:rsidRDefault="0055272F">
            <w:pPr>
              <w:rPr>
                <w:rFonts w:eastAsia="Times New Roman" w:cs="Times New Roman"/>
              </w:rPr>
            </w:pPr>
            <w:r>
              <w:rPr>
                <w:rFonts w:eastAsia="Times New Roman" w:cs="Times New Roman"/>
              </w:rPr>
              <w:t>3228 - 3976</w:t>
            </w:r>
          </w:p>
        </w:tc>
        <w:tc>
          <w:tcPr>
            <w:tcW w:w="0" w:type="auto"/>
            <w:vAlign w:val="center"/>
            <w:hideMark/>
          </w:tcPr>
          <w:p w14:paraId="683BCA47" w14:textId="77777777" w:rsidR="00B8768C" w:rsidRDefault="0055272F">
            <w:pPr>
              <w:rPr>
                <w:rFonts w:eastAsia="Times New Roman" w:cs="Times New Roman"/>
              </w:rPr>
            </w:pPr>
            <w:r>
              <w:rPr>
                <w:rFonts w:eastAsia="Times New Roman" w:cs="Times New Roman"/>
              </w:rPr>
              <w:t>5390 - 7122</w:t>
            </w:r>
          </w:p>
        </w:tc>
      </w:tr>
      <w:tr w:rsidR="00B8768C" w14:paraId="19F597CB" w14:textId="77777777">
        <w:trPr>
          <w:tblCellSpacing w:w="15" w:type="dxa"/>
        </w:trPr>
        <w:tc>
          <w:tcPr>
            <w:tcW w:w="0" w:type="auto"/>
            <w:vAlign w:val="center"/>
            <w:hideMark/>
          </w:tcPr>
          <w:p w14:paraId="254B621B" w14:textId="77777777" w:rsidR="00B8768C" w:rsidRDefault="0055272F">
            <w:pPr>
              <w:rPr>
                <w:rFonts w:eastAsia="Times New Roman" w:cs="Times New Roman"/>
              </w:rPr>
            </w:pPr>
            <w:proofErr w:type="gramStart"/>
            <w:r>
              <w:rPr>
                <w:rFonts w:eastAsia="Times New Roman" w:cs="Times New Roman"/>
              </w:rPr>
              <w:t>hydrogen</w:t>
            </w:r>
            <w:proofErr w:type="gramEnd"/>
            <w:r>
              <w:rPr>
                <w:rFonts w:eastAsia="Times New Roman" w:cs="Times New Roman"/>
              </w:rPr>
              <w:br/>
              <w:t>(metal hydride)</w:t>
            </w:r>
          </w:p>
        </w:tc>
        <w:tc>
          <w:tcPr>
            <w:tcW w:w="0" w:type="auto"/>
            <w:vAlign w:val="center"/>
            <w:hideMark/>
          </w:tcPr>
          <w:p w14:paraId="57FF6486" w14:textId="77777777" w:rsidR="00B8768C" w:rsidRDefault="0055272F">
            <w:pPr>
              <w:rPr>
                <w:rFonts w:eastAsia="Times New Roman" w:cs="Times New Roman"/>
              </w:rPr>
            </w:pPr>
            <w:r>
              <w:rPr>
                <w:rFonts w:eastAsia="Times New Roman" w:cs="Times New Roman"/>
              </w:rPr>
              <w:t>1532 - 2339</w:t>
            </w:r>
          </w:p>
        </w:tc>
        <w:tc>
          <w:tcPr>
            <w:tcW w:w="0" w:type="auto"/>
            <w:vAlign w:val="center"/>
            <w:hideMark/>
          </w:tcPr>
          <w:p w14:paraId="7BC043CA" w14:textId="77777777" w:rsidR="00B8768C" w:rsidRDefault="0055272F">
            <w:pPr>
              <w:rPr>
                <w:rFonts w:eastAsia="Times New Roman" w:cs="Times New Roman"/>
              </w:rPr>
            </w:pPr>
            <w:r>
              <w:rPr>
                <w:rFonts w:eastAsia="Times New Roman" w:cs="Times New Roman"/>
              </w:rPr>
              <w:t>374 - 635</w:t>
            </w:r>
          </w:p>
        </w:tc>
      </w:tr>
      <w:tr w:rsidR="00B8768C" w14:paraId="6CB5B77C" w14:textId="77777777">
        <w:trPr>
          <w:tblCellSpacing w:w="15" w:type="dxa"/>
        </w:trPr>
        <w:tc>
          <w:tcPr>
            <w:tcW w:w="0" w:type="auto"/>
            <w:vAlign w:val="center"/>
            <w:hideMark/>
          </w:tcPr>
          <w:p w14:paraId="7DCD0083" w14:textId="77777777" w:rsidR="00B8768C" w:rsidRDefault="0055272F">
            <w:pPr>
              <w:rPr>
                <w:rFonts w:eastAsia="Times New Roman" w:cs="Times New Roman"/>
              </w:rPr>
            </w:pPr>
            <w:proofErr w:type="gramStart"/>
            <w:r>
              <w:rPr>
                <w:rFonts w:eastAsia="Times New Roman" w:cs="Times New Roman"/>
              </w:rPr>
              <w:t>hydrogen</w:t>
            </w:r>
            <w:proofErr w:type="gramEnd"/>
            <w:r>
              <w:rPr>
                <w:rFonts w:eastAsia="Times New Roman" w:cs="Times New Roman"/>
              </w:rPr>
              <w:br/>
              <w:t>(cryogenic liquid)</w:t>
            </w:r>
          </w:p>
        </w:tc>
        <w:tc>
          <w:tcPr>
            <w:tcW w:w="0" w:type="auto"/>
            <w:vAlign w:val="center"/>
            <w:hideMark/>
          </w:tcPr>
          <w:p w14:paraId="3C99A384" w14:textId="77777777" w:rsidR="00B8768C" w:rsidRDefault="0055272F">
            <w:pPr>
              <w:rPr>
                <w:rFonts w:eastAsia="Times New Roman" w:cs="Times New Roman"/>
              </w:rPr>
            </w:pPr>
            <w:r>
              <w:rPr>
                <w:rFonts w:eastAsia="Times New Roman" w:cs="Times New Roman"/>
              </w:rPr>
              <w:t>1839 - 2317</w:t>
            </w:r>
          </w:p>
        </w:tc>
        <w:tc>
          <w:tcPr>
            <w:tcW w:w="0" w:type="auto"/>
            <w:vAlign w:val="center"/>
            <w:hideMark/>
          </w:tcPr>
          <w:p w14:paraId="6D22D797" w14:textId="77777777" w:rsidR="00B8768C" w:rsidRDefault="0055272F">
            <w:pPr>
              <w:rPr>
                <w:rFonts w:eastAsia="Times New Roman" w:cs="Times New Roman"/>
              </w:rPr>
            </w:pPr>
            <w:r>
              <w:rPr>
                <w:rFonts w:eastAsia="Times New Roman" w:cs="Times New Roman"/>
              </w:rPr>
              <w:t>25,316 - 33,172</w:t>
            </w:r>
          </w:p>
        </w:tc>
      </w:tr>
    </w:tbl>
    <w:p w14:paraId="124D052A" w14:textId="77777777" w:rsidR="00B8768C" w:rsidRDefault="0055272F">
      <w:pPr>
        <w:pStyle w:val="NormalWeb"/>
        <w:numPr>
          <w:ilvl w:val="1"/>
          <w:numId w:val="8"/>
        </w:numPr>
      </w:pPr>
      <w:proofErr w:type="gramStart"/>
      <w:r>
        <w:t>Although liquid hydrogen provides the largest gravimetric capacity, this is overshadowed by the balance of plant structures required for cryogenic storage</w:t>
      </w:r>
      <w:proofErr w:type="gramEnd"/>
      <w:r>
        <w:t xml:space="preserve"> (reference?). Methanol has a 75.5% higher energy density than cryogenic hydrogen and a negligible intrinsic requirement for fuel storage.</w:t>
      </w:r>
    </w:p>
    <w:p w14:paraId="2FCBCC23" w14:textId="77777777" w:rsidR="00B8768C" w:rsidRDefault="0055272F">
      <w:pPr>
        <w:pStyle w:val="NormalWeb"/>
        <w:numPr>
          <w:ilvl w:val="1"/>
          <w:numId w:val="8"/>
        </w:numPr>
      </w:pPr>
      <w:r>
        <w:t>Existing manufacturing, distribution, and point-of-sale infrastructure can be easily, and incrementally, converted from gasoline/diesel to methanol. Hydrogen could not.</w:t>
      </w:r>
    </w:p>
    <w:p w14:paraId="3863372D" w14:textId="77777777" w:rsidR="00B8768C" w:rsidRDefault="0055272F">
      <w:pPr>
        <w:pStyle w:val="NormalWeb"/>
        <w:numPr>
          <w:ilvl w:val="1"/>
          <w:numId w:val="8"/>
        </w:numPr>
      </w:pPr>
      <w:r>
        <w:t>Currently, (fraction?) methanol is produced by steam reforming methane (reference?). However unlike other higher order alcohols, technologies exist at a technological readiness level of XX for the commercial production of methanol from biomass. Thus, the use of methanol would result in the closed cycle production, distribution, and reclamation of carbon, resulting in a carbon-neutral fuel source.</w:t>
      </w:r>
    </w:p>
    <w:p w14:paraId="514898BB" w14:textId="77777777" w:rsidR="00B8768C" w:rsidRDefault="0055272F">
      <w:pPr>
        <w:pStyle w:val="NormalWeb"/>
      </w:pPr>
      <w:r>
        <w:t>For these reasons, this work will focus on the integration of direct methanol fuel cells as the power generator.</w:t>
      </w:r>
    </w:p>
    <w:p w14:paraId="69182089" w14:textId="77777777" w:rsidR="00B8768C" w:rsidRDefault="0055272F">
      <w:pPr>
        <w:pStyle w:val="Heading3"/>
        <w:rPr>
          <w:rFonts w:eastAsia="Times New Roman" w:cs="Times New Roman"/>
        </w:rPr>
      </w:pPr>
      <w:r>
        <w:rPr>
          <w:rFonts w:eastAsia="Times New Roman" w:cs="Times New Roman"/>
        </w:rPr>
        <w:t>Batteries</w:t>
      </w:r>
    </w:p>
    <w:p w14:paraId="5DA52978" w14:textId="77777777" w:rsidR="00B8768C" w:rsidRDefault="0055272F">
      <w:pPr>
        <w:pStyle w:val="NormalWeb"/>
      </w:pPr>
      <w:r>
        <w:t xml:space="preserve">There are many energy storage options: lithium ion, magnesium ion, redox flow, </w:t>
      </w:r>
      <w:proofErr w:type="spellStart"/>
      <w:proofErr w:type="gramStart"/>
      <w:r>
        <w:t>supercapacitors</w:t>
      </w:r>
      <w:proofErr w:type="spellEnd"/>
      <w:proofErr w:type="gramEnd"/>
      <w:r>
        <w:t>. (Expand discussion on the down selection from these to lithium ion batteries.)</w:t>
      </w:r>
    </w:p>
    <w:p w14:paraId="2434CA8B" w14:textId="77777777" w:rsidR="00B8768C" w:rsidRDefault="0055272F">
      <w:pPr>
        <w:pStyle w:val="NormalWeb"/>
      </w:pPr>
      <w:r>
        <w:t xml:space="preserve">With volumetric energy densities between 256 and 394 </w:t>
      </w:r>
      <w:proofErr w:type="spellStart"/>
      <w:r>
        <w:t>Wh</w:t>
      </w:r>
      <w:proofErr w:type="spellEnd"/>
      <w:r>
        <w:t xml:space="preserve">/L and specific energies between 86 and 147 </w:t>
      </w:r>
      <w:proofErr w:type="spellStart"/>
      <w:r>
        <w:t>Wh</w:t>
      </w:r>
      <w:proofErr w:type="spellEnd"/>
      <w:r>
        <w:t>/kg,</w:t>
      </w:r>
      <w:hyperlink r:id="rId7" w:tooltip="Aricò, A., Baglio, V. &amp; Antonucci, V. in Electrocatal. Direct Methanol Fuel Cells 1-78 (2009)." w:history="1">
        <w:r>
          <w:rPr>
            <w:rStyle w:val="Hyperlink"/>
          </w:rPr>
          <w:t>(Arico2009)</w:t>
        </w:r>
      </w:hyperlink>
      <w:r>
        <w:t xml:space="preserve"> lithium ion batteries have energy capacities and kinetics sufficient to handle fluctuations in power demands.</w:t>
      </w:r>
    </w:p>
    <w:p w14:paraId="184B0A32" w14:textId="77777777" w:rsidR="00B8768C" w:rsidRDefault="0055272F">
      <w:pPr>
        <w:pStyle w:val="NormalWeb"/>
      </w:pPr>
      <w:r>
        <w:t xml:space="preserve">The </w:t>
      </w:r>
      <w:proofErr w:type="gramStart"/>
      <w:r>
        <w:t>use of liquid electrolytes in lithium ion battery chemistries increases the complexity of battery design and are</w:t>
      </w:r>
      <w:proofErr w:type="gramEnd"/>
      <w:r>
        <w:t xml:space="preserve"> involved in numerous unsafe redox reactions, particularly at overcharged and undercharged conditions. </w:t>
      </w:r>
      <w:proofErr w:type="gramStart"/>
      <w:r>
        <w:t>Solid state</w:t>
      </w:r>
      <w:proofErr w:type="gramEnd"/>
      <w:r>
        <w:t xml:space="preserve"> lithium ion batteries do not suffer from operational limitations that plague these chemistries.</w:t>
      </w:r>
    </w:p>
    <w:p w14:paraId="11D2CF86" w14:textId="77777777" w:rsidR="00B8768C" w:rsidRDefault="0055272F">
      <w:pPr>
        <w:pStyle w:val="NormalWeb"/>
      </w:pPr>
      <w:r>
        <w:t>A hybrid power systems ensures the battery remain within the broad window for optimal battery performance.</w:t>
      </w:r>
    </w:p>
    <w:p w14:paraId="5F6FF35C" w14:textId="77777777" w:rsidR="00B8768C" w:rsidRDefault="0055272F">
      <w:pPr>
        <w:pStyle w:val="NormalWeb"/>
      </w:pPr>
      <w:r>
        <w:t xml:space="preserve">For these reasons, this work will focus on integration of </w:t>
      </w:r>
      <w:proofErr w:type="gramStart"/>
      <w:r>
        <w:t>solid state</w:t>
      </w:r>
      <w:proofErr w:type="gramEnd"/>
      <w:r>
        <w:t xml:space="preserve"> lithium ion batteries as the power storage medium.</w:t>
      </w:r>
    </w:p>
    <w:p w14:paraId="4DED54A3" w14:textId="15222B5E" w:rsidR="00554C7E" w:rsidRDefault="00554C7E" w:rsidP="00554C7E">
      <w:pPr>
        <w:pStyle w:val="Heading3"/>
      </w:pPr>
      <w:r>
        <w:t>Team</w:t>
      </w:r>
    </w:p>
    <w:p w14:paraId="24D4DCAA" w14:textId="760112D7" w:rsidR="00554C7E" w:rsidRDefault="00554C7E">
      <w:pPr>
        <w:pStyle w:val="NormalWeb"/>
      </w:pPr>
      <w:r>
        <w:t>Our interdisciplinary team brings in research and manufacturing expertise from industry, from academia, and from the national laboratory system.</w:t>
      </w:r>
    </w:p>
    <w:p w14:paraId="4C7B696C" w14:textId="42627756" w:rsidR="00554C7E" w:rsidRDefault="00554C7E">
      <w:pPr>
        <w:pStyle w:val="NormalWeb"/>
      </w:pPr>
      <w:r>
        <w:t xml:space="preserve">Our strengths: characterization, experimental synthesis, system modeling, </w:t>
      </w:r>
      <w:proofErr w:type="gramStart"/>
      <w:r>
        <w:t>manufacturing</w:t>
      </w:r>
      <w:proofErr w:type="gramEnd"/>
      <w:r>
        <w:t>.</w:t>
      </w:r>
    </w:p>
    <w:p w14:paraId="64D80CA7" w14:textId="77777777" w:rsidR="00B8768C" w:rsidRDefault="0055272F">
      <w:pPr>
        <w:pStyle w:val="Heading2"/>
        <w:rPr>
          <w:rFonts w:eastAsia="Times New Roman" w:cs="Times New Roman"/>
        </w:rPr>
      </w:pPr>
      <w:r>
        <w:rPr>
          <w:rFonts w:eastAsia="Times New Roman" w:cs="Times New Roman"/>
        </w:rPr>
        <w:t>References</w:t>
      </w:r>
    </w:p>
    <w:p w14:paraId="774AE002" w14:textId="0E8096AE" w:rsidR="00732567" w:rsidRDefault="0055272F">
      <w:pPr>
        <w:rPr>
          <w:rFonts w:eastAsia="Times New Roman" w:cs="Times New Roman"/>
        </w:rPr>
      </w:pPr>
      <w:r>
        <w:rPr>
          <w:rFonts w:eastAsia="Times New Roman" w:cs="Times New Roman"/>
        </w:rPr>
        <w:t xml:space="preserve">(Arico2009) </w:t>
      </w:r>
      <w:proofErr w:type="spellStart"/>
      <w:r>
        <w:rPr>
          <w:rFonts w:eastAsia="Times New Roman" w:cs="Times New Roman"/>
        </w:rPr>
        <w:t>Aricò</w:t>
      </w:r>
      <w:proofErr w:type="spellEnd"/>
      <w:r>
        <w:rPr>
          <w:rFonts w:eastAsia="Times New Roman" w:cs="Times New Roman"/>
        </w:rPr>
        <w:t xml:space="preserve">, A., </w:t>
      </w:r>
      <w:proofErr w:type="spellStart"/>
      <w:r>
        <w:rPr>
          <w:rFonts w:eastAsia="Times New Roman" w:cs="Times New Roman"/>
        </w:rPr>
        <w:t>Baglio</w:t>
      </w:r>
      <w:proofErr w:type="spellEnd"/>
      <w:r>
        <w:rPr>
          <w:rFonts w:eastAsia="Times New Roman" w:cs="Times New Roman"/>
        </w:rPr>
        <w:t xml:space="preserve">, V. &amp; </w:t>
      </w:r>
      <w:proofErr w:type="spellStart"/>
      <w:r>
        <w:rPr>
          <w:rFonts w:eastAsia="Times New Roman" w:cs="Times New Roman"/>
        </w:rPr>
        <w:t>Antonucci</w:t>
      </w:r>
      <w:proofErr w:type="spellEnd"/>
      <w:r>
        <w:rPr>
          <w:rFonts w:eastAsia="Times New Roman" w:cs="Times New Roman"/>
        </w:rPr>
        <w:t xml:space="preserve">, V. in </w:t>
      </w:r>
      <w:proofErr w:type="spellStart"/>
      <w:r>
        <w:rPr>
          <w:rFonts w:eastAsia="Times New Roman" w:cs="Times New Roman"/>
        </w:rPr>
        <w:t>Electrocatal</w:t>
      </w:r>
      <w:proofErr w:type="spellEnd"/>
      <w:r>
        <w:rPr>
          <w:rFonts w:eastAsia="Times New Roman" w:cs="Times New Roman"/>
        </w:rPr>
        <w:t xml:space="preserve">. Direct Methanol Fuel Cells 1-78 (2009) </w:t>
      </w:r>
    </w:p>
    <w:p w14:paraId="746EEFF4" w14:textId="77777777" w:rsidR="00732567" w:rsidRDefault="00732567" w:rsidP="00732567">
      <w:pPr>
        <w:pStyle w:val="Heading1"/>
        <w:rPr>
          <w:rFonts w:eastAsia="Times New Roman" w:cs="Times New Roman"/>
        </w:rPr>
      </w:pPr>
      <w:r>
        <w:rPr>
          <w:rFonts w:eastAsia="Times New Roman" w:cs="Times New Roman"/>
        </w:rPr>
        <w:t>Notes</w:t>
      </w:r>
    </w:p>
    <w:p w14:paraId="5EF853F5" w14:textId="77777777" w:rsidR="00732567" w:rsidRDefault="00732567" w:rsidP="00732567">
      <w:pPr>
        <w:pStyle w:val="Heading2"/>
        <w:rPr>
          <w:rFonts w:eastAsia="Times New Roman" w:cs="Times New Roman"/>
        </w:rPr>
      </w:pPr>
      <w:r>
        <w:rPr>
          <w:rFonts w:eastAsia="Times New Roman" w:cs="Times New Roman"/>
        </w:rPr>
        <w:t>Benefits</w:t>
      </w:r>
    </w:p>
    <w:p w14:paraId="77B9C2A1" w14:textId="77777777" w:rsidR="00732567" w:rsidRDefault="00732567" w:rsidP="00732567">
      <w:pPr>
        <w:pStyle w:val="NormalWeb"/>
      </w:pPr>
      <w:r>
        <w:t>A hybrid system allows the strengths of one component to balance the weaknesses of the other, e.g.</w:t>
      </w:r>
    </w:p>
    <w:p w14:paraId="2C6C9885" w14:textId="77777777" w:rsidR="00732567" w:rsidRDefault="00732567" w:rsidP="00732567">
      <w:pPr>
        <w:pStyle w:val="NormalWeb"/>
        <w:numPr>
          <w:ilvl w:val="0"/>
          <w:numId w:val="1"/>
        </w:numPr>
      </w:pPr>
      <w:proofErr w:type="gramStart"/>
      <w:r>
        <w:t>developments</w:t>
      </w:r>
      <w:proofErr w:type="gramEnd"/>
      <w:r>
        <w:t xml:space="preserve"> in energy storage (battery), energy production (fuel cell), methanol production and distribution -- and to a lesser degree, DC power electronics -- provide independent pathways to system improvement and incorporation.</w:t>
      </w:r>
    </w:p>
    <w:p w14:paraId="5D23EDDF" w14:textId="77777777" w:rsidR="00732567" w:rsidRDefault="00732567" w:rsidP="00732567">
      <w:pPr>
        <w:pStyle w:val="NormalWeb"/>
        <w:numPr>
          <w:ilvl w:val="0"/>
          <w:numId w:val="1"/>
        </w:numPr>
      </w:pPr>
      <w:proofErr w:type="gramStart"/>
      <w:r>
        <w:t>methanol</w:t>
      </w:r>
      <w:proofErr w:type="gramEnd"/>
      <w:r>
        <w:t xml:space="preserve"> distribution can be incorporated into existing infrastructure with minimal effort. This allows methanol production and distribution to be ramped up incrementally.</w:t>
      </w:r>
    </w:p>
    <w:p w14:paraId="46696FC2" w14:textId="77777777" w:rsidR="00732567" w:rsidRDefault="00732567" w:rsidP="00732567">
      <w:pPr>
        <w:pStyle w:val="Heading3"/>
        <w:rPr>
          <w:rFonts w:eastAsia="Times New Roman" w:cs="Times New Roman"/>
        </w:rPr>
      </w:pPr>
      <w:r>
        <w:rPr>
          <w:rFonts w:eastAsia="Times New Roman" w:cs="Times New Roman"/>
        </w:rPr>
        <w:t>DMFC</w:t>
      </w:r>
    </w:p>
    <w:p w14:paraId="55F146F5" w14:textId="77777777" w:rsidR="00732567" w:rsidRDefault="00732567" w:rsidP="00732567">
      <w:pPr>
        <w:numPr>
          <w:ilvl w:val="0"/>
          <w:numId w:val="2"/>
        </w:numPr>
        <w:spacing w:before="100" w:beforeAutospacing="1" w:after="100" w:afterAutospacing="1"/>
        <w:rPr>
          <w:rFonts w:eastAsia="Times New Roman" w:cs="Times New Roman"/>
        </w:rPr>
      </w:pPr>
      <w:proofErr w:type="gramStart"/>
      <w:r>
        <w:rPr>
          <w:rFonts w:eastAsia="Times New Roman" w:cs="Times New Roman"/>
        </w:rPr>
        <w:t>extensible</w:t>
      </w:r>
      <w:proofErr w:type="gramEnd"/>
      <w:r>
        <w:rPr>
          <w:rFonts w:eastAsia="Times New Roman" w:cs="Times New Roman"/>
        </w:rPr>
        <w:t xml:space="preserve"> energy capacity</w:t>
      </w:r>
    </w:p>
    <w:p w14:paraId="243C0AE9" w14:textId="77777777" w:rsidR="00732567" w:rsidRDefault="00732567" w:rsidP="00732567">
      <w:pPr>
        <w:numPr>
          <w:ilvl w:val="0"/>
          <w:numId w:val="2"/>
        </w:numPr>
        <w:spacing w:before="100" w:beforeAutospacing="1" w:after="100" w:afterAutospacing="1"/>
        <w:rPr>
          <w:rFonts w:eastAsia="Times New Roman" w:cs="Times New Roman"/>
        </w:rPr>
      </w:pPr>
      <w:proofErr w:type="gramStart"/>
      <w:r>
        <w:rPr>
          <w:rFonts w:eastAsia="Times New Roman" w:cs="Times New Roman"/>
        </w:rPr>
        <w:t>high</w:t>
      </w:r>
      <w:proofErr w:type="gramEnd"/>
      <w:r>
        <w:rPr>
          <w:rFonts w:eastAsia="Times New Roman" w:cs="Times New Roman"/>
        </w:rPr>
        <w:t xml:space="preserve"> energy density (volumetric and gravimetric) than lithium ion hydrogen.</w:t>
      </w:r>
    </w:p>
    <w:p w14:paraId="2E7B4152" w14:textId="77777777" w:rsidR="00732567" w:rsidRDefault="00732567" w:rsidP="00732567">
      <w:pPr>
        <w:numPr>
          <w:ilvl w:val="0"/>
          <w:numId w:val="2"/>
        </w:numPr>
        <w:spacing w:before="100" w:beforeAutospacing="1" w:after="100" w:afterAutospacing="1"/>
        <w:rPr>
          <w:rFonts w:eastAsia="Times New Roman" w:cs="Times New Roman"/>
        </w:rPr>
      </w:pPr>
      <w:proofErr w:type="gramStart"/>
      <w:r>
        <w:rPr>
          <w:rFonts w:eastAsia="Times New Roman" w:cs="Times New Roman"/>
        </w:rPr>
        <w:t>existing</w:t>
      </w:r>
      <w:proofErr w:type="gramEnd"/>
      <w:r>
        <w:rPr>
          <w:rFonts w:eastAsia="Times New Roman" w:cs="Times New Roman"/>
        </w:rPr>
        <w:t xml:space="preserve"> potential for a closed carbon cycle fuel</w:t>
      </w:r>
    </w:p>
    <w:p w14:paraId="4985B4DD" w14:textId="77777777" w:rsidR="00732567" w:rsidRDefault="00732567" w:rsidP="00732567">
      <w:pPr>
        <w:numPr>
          <w:ilvl w:val="0"/>
          <w:numId w:val="2"/>
        </w:numPr>
        <w:spacing w:before="100" w:beforeAutospacing="1" w:after="100" w:afterAutospacing="1"/>
        <w:rPr>
          <w:rFonts w:eastAsia="Times New Roman" w:cs="Times New Roman"/>
        </w:rPr>
      </w:pPr>
      <w:proofErr w:type="gramStart"/>
      <w:r>
        <w:rPr>
          <w:rFonts w:eastAsia="Times New Roman" w:cs="Times New Roman"/>
        </w:rPr>
        <w:t>excellent</w:t>
      </w:r>
      <w:proofErr w:type="gramEnd"/>
      <w:r>
        <w:rPr>
          <w:rFonts w:eastAsia="Times New Roman" w:cs="Times New Roman"/>
        </w:rPr>
        <w:t xml:space="preserve"> scalability</w:t>
      </w:r>
    </w:p>
    <w:p w14:paraId="29786677" w14:textId="77777777" w:rsidR="00732567" w:rsidRDefault="00732567" w:rsidP="00732567">
      <w:pPr>
        <w:numPr>
          <w:ilvl w:val="0"/>
          <w:numId w:val="2"/>
        </w:numPr>
        <w:spacing w:before="100" w:beforeAutospacing="1" w:after="100" w:afterAutospacing="1"/>
        <w:rPr>
          <w:rFonts w:eastAsia="Times New Roman" w:cs="Times New Roman"/>
        </w:rPr>
      </w:pPr>
      <w:proofErr w:type="gramStart"/>
      <w:r>
        <w:rPr>
          <w:rFonts w:eastAsia="Times New Roman" w:cs="Times New Roman"/>
        </w:rPr>
        <w:t>excellent</w:t>
      </w:r>
      <w:proofErr w:type="gramEnd"/>
      <w:r>
        <w:rPr>
          <w:rFonts w:eastAsia="Times New Roman" w:cs="Times New Roman"/>
        </w:rPr>
        <w:t xml:space="preserve"> cell-to-cell consistency</w:t>
      </w:r>
    </w:p>
    <w:p w14:paraId="0AFFB774" w14:textId="77777777" w:rsidR="00732567" w:rsidRDefault="00732567" w:rsidP="00732567">
      <w:pPr>
        <w:pStyle w:val="Heading3"/>
        <w:rPr>
          <w:rFonts w:eastAsia="Times New Roman" w:cs="Times New Roman"/>
        </w:rPr>
      </w:pPr>
      <w:proofErr w:type="spellStart"/>
      <w:r>
        <w:rPr>
          <w:rFonts w:eastAsia="Times New Roman" w:cs="Times New Roman"/>
        </w:rPr>
        <w:t>Batt</w:t>
      </w:r>
      <w:proofErr w:type="spellEnd"/>
    </w:p>
    <w:p w14:paraId="0F2D96EA" w14:textId="77777777" w:rsidR="00732567" w:rsidRDefault="00732567" w:rsidP="00732567">
      <w:pPr>
        <w:numPr>
          <w:ilvl w:val="0"/>
          <w:numId w:val="3"/>
        </w:numPr>
        <w:spacing w:before="100" w:beforeAutospacing="1" w:after="100" w:afterAutospacing="1"/>
        <w:rPr>
          <w:rFonts w:eastAsia="Times New Roman" w:cs="Times New Roman"/>
        </w:rPr>
      </w:pPr>
      <w:proofErr w:type="gramStart"/>
      <w:r>
        <w:rPr>
          <w:rFonts w:eastAsia="Times New Roman" w:cs="Times New Roman"/>
        </w:rPr>
        <w:t>rapid</w:t>
      </w:r>
      <w:proofErr w:type="gramEnd"/>
      <w:r>
        <w:rPr>
          <w:rFonts w:eastAsia="Times New Roman" w:cs="Times New Roman"/>
        </w:rPr>
        <w:t xml:space="preserve"> power response (kinetics)</w:t>
      </w:r>
    </w:p>
    <w:p w14:paraId="63034435" w14:textId="77777777" w:rsidR="00732567" w:rsidRDefault="00732567" w:rsidP="00732567">
      <w:pPr>
        <w:numPr>
          <w:ilvl w:val="0"/>
          <w:numId w:val="3"/>
        </w:numPr>
        <w:spacing w:before="100" w:beforeAutospacing="1" w:after="100" w:afterAutospacing="1"/>
        <w:rPr>
          <w:rFonts w:eastAsia="Times New Roman" w:cs="Times New Roman"/>
        </w:rPr>
      </w:pPr>
      <w:proofErr w:type="gramStart"/>
      <w:r>
        <w:rPr>
          <w:rFonts w:eastAsia="Times New Roman" w:cs="Times New Roman"/>
        </w:rPr>
        <w:t>medium</w:t>
      </w:r>
      <w:proofErr w:type="gramEnd"/>
      <w:r>
        <w:rPr>
          <w:rFonts w:eastAsia="Times New Roman" w:cs="Times New Roman"/>
        </w:rPr>
        <w:t xml:space="preserve"> capacity (SC &lt; </w:t>
      </w:r>
      <w:proofErr w:type="spellStart"/>
      <w:r>
        <w:rPr>
          <w:rFonts w:eastAsia="Times New Roman" w:cs="Times New Roman"/>
        </w:rPr>
        <w:t>Batt</w:t>
      </w:r>
      <w:proofErr w:type="spellEnd"/>
      <w:r>
        <w:rPr>
          <w:rFonts w:eastAsia="Times New Roman" w:cs="Times New Roman"/>
        </w:rPr>
        <w:t xml:space="preserve"> &lt; DMFC)</w:t>
      </w:r>
    </w:p>
    <w:p w14:paraId="0F5C7DBF" w14:textId="77777777" w:rsidR="00732567" w:rsidRDefault="00732567" w:rsidP="00732567">
      <w:pPr>
        <w:pStyle w:val="NormalWeb"/>
      </w:pPr>
      <w:r>
        <w:t>Several technical challenges prevent immediate implementation of a HBFC...</w:t>
      </w:r>
    </w:p>
    <w:p w14:paraId="6A50CFB7" w14:textId="77777777" w:rsidR="00732567" w:rsidRDefault="00732567" w:rsidP="00732567">
      <w:pPr>
        <w:pStyle w:val="Heading2"/>
        <w:rPr>
          <w:rFonts w:eastAsia="Times New Roman" w:cs="Times New Roman"/>
        </w:rPr>
      </w:pPr>
      <w:r>
        <w:rPr>
          <w:rFonts w:eastAsia="Times New Roman" w:cs="Times New Roman"/>
        </w:rPr>
        <w:t>Technical Challenges</w:t>
      </w:r>
    </w:p>
    <w:p w14:paraId="393D9CB0" w14:textId="77777777" w:rsidR="00732567" w:rsidRDefault="00732567" w:rsidP="00732567">
      <w:pPr>
        <w:pStyle w:val="Heading3"/>
        <w:rPr>
          <w:rFonts w:eastAsia="Times New Roman" w:cs="Times New Roman"/>
        </w:rPr>
      </w:pPr>
      <w:r>
        <w:rPr>
          <w:rFonts w:eastAsia="Times New Roman" w:cs="Times New Roman"/>
        </w:rPr>
        <w:t>DMFC</w:t>
      </w:r>
    </w:p>
    <w:p w14:paraId="0BB0D36C" w14:textId="77777777" w:rsidR="00732567" w:rsidRDefault="00732567" w:rsidP="00732567">
      <w:pPr>
        <w:numPr>
          <w:ilvl w:val="0"/>
          <w:numId w:val="4"/>
        </w:numPr>
        <w:spacing w:before="100" w:beforeAutospacing="1" w:after="100" w:afterAutospacing="1"/>
        <w:rPr>
          <w:rFonts w:eastAsia="Times New Roman" w:cs="Times New Roman"/>
        </w:rPr>
      </w:pPr>
      <w:proofErr w:type="gramStart"/>
      <w:r>
        <w:rPr>
          <w:rFonts w:eastAsia="Times New Roman" w:cs="Times New Roman"/>
        </w:rPr>
        <w:t>poor</w:t>
      </w:r>
      <w:proofErr w:type="gramEnd"/>
      <w:r>
        <w:rPr>
          <w:rFonts w:eastAsia="Times New Roman" w:cs="Times New Roman"/>
        </w:rPr>
        <w:t xml:space="preserve"> kinetics</w:t>
      </w:r>
    </w:p>
    <w:p w14:paraId="19AB94A7" w14:textId="77777777" w:rsidR="00732567" w:rsidRDefault="00732567" w:rsidP="00732567">
      <w:pPr>
        <w:numPr>
          <w:ilvl w:val="0"/>
          <w:numId w:val="4"/>
        </w:numPr>
        <w:spacing w:before="100" w:beforeAutospacing="1" w:after="100" w:afterAutospacing="1"/>
        <w:rPr>
          <w:rFonts w:eastAsia="Times New Roman" w:cs="Times New Roman"/>
        </w:rPr>
      </w:pPr>
      <w:proofErr w:type="gramStart"/>
      <w:r>
        <w:rPr>
          <w:rFonts w:eastAsia="Times New Roman" w:cs="Times New Roman"/>
        </w:rPr>
        <w:t>catalyst</w:t>
      </w:r>
      <w:proofErr w:type="gramEnd"/>
      <w:r>
        <w:rPr>
          <w:rFonts w:eastAsia="Times New Roman" w:cs="Times New Roman"/>
        </w:rPr>
        <w:t xml:space="preserve"> stability (anode)</w:t>
      </w:r>
    </w:p>
    <w:p w14:paraId="667289E8" w14:textId="77777777" w:rsidR="00732567" w:rsidRDefault="00732567" w:rsidP="00732567">
      <w:pPr>
        <w:numPr>
          <w:ilvl w:val="0"/>
          <w:numId w:val="4"/>
        </w:numPr>
        <w:spacing w:before="100" w:beforeAutospacing="1" w:after="100" w:afterAutospacing="1"/>
        <w:rPr>
          <w:rFonts w:eastAsia="Times New Roman" w:cs="Times New Roman"/>
        </w:rPr>
      </w:pPr>
      <w:proofErr w:type="gramStart"/>
      <w:r>
        <w:rPr>
          <w:rFonts w:eastAsia="Times New Roman" w:cs="Times New Roman"/>
        </w:rPr>
        <w:t>crossover</w:t>
      </w:r>
      <w:proofErr w:type="gramEnd"/>
      <w:r>
        <w:rPr>
          <w:rFonts w:eastAsia="Times New Roman" w:cs="Times New Roman"/>
        </w:rPr>
        <w:t xml:space="preserve"> current </w:t>
      </w:r>
    </w:p>
    <w:p w14:paraId="53216ECF" w14:textId="77777777" w:rsidR="00732567" w:rsidRDefault="00732567" w:rsidP="00732567">
      <w:pPr>
        <w:numPr>
          <w:ilvl w:val="1"/>
          <w:numId w:val="4"/>
        </w:numPr>
        <w:spacing w:before="100" w:beforeAutospacing="1" w:after="100" w:afterAutospacing="1"/>
        <w:rPr>
          <w:rFonts w:eastAsia="Times New Roman" w:cs="Times New Roman"/>
        </w:rPr>
      </w:pPr>
      <w:proofErr w:type="spellStart"/>
      <w:proofErr w:type="gramStart"/>
      <w:r>
        <w:rPr>
          <w:rFonts w:eastAsia="Times New Roman" w:cs="Times New Roman"/>
        </w:rPr>
        <w:t>electromigration</w:t>
      </w:r>
      <w:proofErr w:type="spellEnd"/>
      <w:proofErr w:type="gramEnd"/>
    </w:p>
    <w:p w14:paraId="44A4D9C2" w14:textId="77777777" w:rsidR="00732567" w:rsidRDefault="00732567" w:rsidP="00732567">
      <w:pPr>
        <w:numPr>
          <w:ilvl w:val="1"/>
          <w:numId w:val="4"/>
        </w:numPr>
        <w:spacing w:before="100" w:beforeAutospacing="1" w:after="100" w:afterAutospacing="1"/>
        <w:rPr>
          <w:rFonts w:eastAsia="Times New Roman" w:cs="Times New Roman"/>
        </w:rPr>
      </w:pPr>
      <w:proofErr w:type="gramStart"/>
      <w:r>
        <w:rPr>
          <w:rFonts w:eastAsia="Times New Roman" w:cs="Times New Roman"/>
        </w:rPr>
        <w:t>diffusion</w:t>
      </w:r>
      <w:proofErr w:type="gramEnd"/>
    </w:p>
    <w:p w14:paraId="0342CA29" w14:textId="77777777" w:rsidR="00732567" w:rsidRDefault="00732567" w:rsidP="00732567">
      <w:pPr>
        <w:numPr>
          <w:ilvl w:val="0"/>
          <w:numId w:val="4"/>
        </w:numPr>
        <w:spacing w:before="100" w:beforeAutospacing="1" w:after="100" w:afterAutospacing="1"/>
        <w:rPr>
          <w:rFonts w:eastAsia="Times New Roman" w:cs="Times New Roman"/>
        </w:rPr>
      </w:pPr>
      <w:proofErr w:type="gramStart"/>
      <w:r>
        <w:rPr>
          <w:rFonts w:eastAsia="Times New Roman" w:cs="Times New Roman"/>
        </w:rPr>
        <w:t>polarization</w:t>
      </w:r>
      <w:proofErr w:type="gramEnd"/>
      <w:r>
        <w:rPr>
          <w:rFonts w:eastAsia="Times New Roman" w:cs="Times New Roman"/>
        </w:rPr>
        <w:t xml:space="preserve"> </w:t>
      </w:r>
    </w:p>
    <w:p w14:paraId="345242D7" w14:textId="77777777" w:rsidR="00732567" w:rsidRDefault="00732567" w:rsidP="00732567">
      <w:pPr>
        <w:numPr>
          <w:ilvl w:val="1"/>
          <w:numId w:val="4"/>
        </w:numPr>
        <w:spacing w:before="100" w:beforeAutospacing="1" w:after="100" w:afterAutospacing="1"/>
        <w:rPr>
          <w:rFonts w:eastAsia="Times New Roman" w:cs="Times New Roman"/>
        </w:rPr>
      </w:pPr>
      <w:proofErr w:type="spellStart"/>
      <w:r>
        <w:rPr>
          <w:rFonts w:eastAsia="Times New Roman" w:cs="Times New Roman"/>
        </w:rPr>
        <w:t>Ohmic</w:t>
      </w:r>
      <w:proofErr w:type="spellEnd"/>
    </w:p>
    <w:p w14:paraId="52DAF192" w14:textId="77777777" w:rsidR="00732567" w:rsidRDefault="00732567" w:rsidP="00732567">
      <w:pPr>
        <w:numPr>
          <w:ilvl w:val="1"/>
          <w:numId w:val="4"/>
        </w:numPr>
        <w:spacing w:before="100" w:beforeAutospacing="1" w:after="100" w:afterAutospacing="1"/>
        <w:rPr>
          <w:rFonts w:eastAsia="Times New Roman" w:cs="Times New Roman"/>
        </w:rPr>
      </w:pPr>
      <w:proofErr w:type="gramStart"/>
      <w:r>
        <w:rPr>
          <w:rFonts w:eastAsia="Times New Roman" w:cs="Times New Roman"/>
        </w:rPr>
        <w:t>electrochemical</w:t>
      </w:r>
      <w:proofErr w:type="gramEnd"/>
    </w:p>
    <w:p w14:paraId="3472591D" w14:textId="77777777" w:rsidR="00732567" w:rsidRDefault="00732567" w:rsidP="00732567">
      <w:pPr>
        <w:numPr>
          <w:ilvl w:val="1"/>
          <w:numId w:val="4"/>
        </w:numPr>
        <w:spacing w:before="100" w:beforeAutospacing="1" w:after="100" w:afterAutospacing="1"/>
        <w:rPr>
          <w:rFonts w:eastAsia="Times New Roman" w:cs="Times New Roman"/>
        </w:rPr>
      </w:pPr>
      <w:proofErr w:type="gramStart"/>
      <w:r>
        <w:rPr>
          <w:rFonts w:eastAsia="Times New Roman" w:cs="Times New Roman"/>
        </w:rPr>
        <w:t>catalytic</w:t>
      </w:r>
      <w:proofErr w:type="gramEnd"/>
    </w:p>
    <w:p w14:paraId="21D176AB" w14:textId="44431345" w:rsidR="00732567" w:rsidRDefault="00C753C7" w:rsidP="00732567">
      <w:pPr>
        <w:numPr>
          <w:ilvl w:val="0"/>
          <w:numId w:val="4"/>
        </w:numPr>
        <w:spacing w:before="100" w:beforeAutospacing="1" w:after="100" w:afterAutospacing="1"/>
        <w:rPr>
          <w:rFonts w:eastAsia="Times New Roman" w:cs="Times New Roman"/>
        </w:rPr>
      </w:pPr>
      <w:r>
        <w:rPr>
          <w:rFonts w:eastAsia="Times New Roman" w:cs="Times New Roman"/>
        </w:rPr>
        <w:t>H</w:t>
      </w:r>
      <w:r w:rsidRPr="00C753C7">
        <w:rPr>
          <w:rFonts w:eastAsia="Times New Roman" w:cs="Times New Roman"/>
          <w:vertAlign w:val="subscript"/>
        </w:rPr>
        <w:t>2</w:t>
      </w:r>
      <w:r w:rsidR="00732567">
        <w:rPr>
          <w:rFonts w:eastAsia="Times New Roman" w:cs="Times New Roman"/>
        </w:rPr>
        <w:t>O management</w:t>
      </w:r>
    </w:p>
    <w:p w14:paraId="7BC23C62" w14:textId="77777777" w:rsidR="00732567" w:rsidRDefault="00732567" w:rsidP="00732567">
      <w:pPr>
        <w:numPr>
          <w:ilvl w:val="0"/>
          <w:numId w:val="4"/>
        </w:numPr>
        <w:spacing w:before="100" w:beforeAutospacing="1" w:after="100" w:afterAutospacing="1"/>
        <w:rPr>
          <w:rFonts w:eastAsia="Times New Roman" w:cs="Times New Roman"/>
        </w:rPr>
      </w:pPr>
      <w:r>
        <w:rPr>
          <w:rFonts w:eastAsia="Times New Roman" w:cs="Times New Roman"/>
        </w:rPr>
        <w:t xml:space="preserve">DC electronics require V≥1 V </w:t>
      </w:r>
    </w:p>
    <w:p w14:paraId="659379A1" w14:textId="77777777" w:rsidR="00732567" w:rsidRDefault="00732567" w:rsidP="00732567">
      <w:pPr>
        <w:pStyle w:val="Heading3"/>
        <w:rPr>
          <w:rFonts w:eastAsia="Times New Roman" w:cs="Times New Roman"/>
        </w:rPr>
      </w:pPr>
      <w:r>
        <w:rPr>
          <w:rFonts w:eastAsia="Times New Roman" w:cs="Times New Roman"/>
        </w:rPr>
        <w:t>Battery</w:t>
      </w:r>
    </w:p>
    <w:p w14:paraId="65AE0368" w14:textId="77777777" w:rsidR="00732567" w:rsidRDefault="00732567" w:rsidP="00732567">
      <w:pPr>
        <w:numPr>
          <w:ilvl w:val="0"/>
          <w:numId w:val="5"/>
        </w:numPr>
        <w:spacing w:before="100" w:beforeAutospacing="1" w:after="100" w:afterAutospacing="1"/>
        <w:rPr>
          <w:rFonts w:eastAsia="Times New Roman" w:cs="Times New Roman"/>
        </w:rPr>
      </w:pPr>
      <w:proofErr w:type="gramStart"/>
      <w:r>
        <w:rPr>
          <w:rFonts w:eastAsia="Times New Roman" w:cs="Times New Roman"/>
        </w:rPr>
        <w:t>limited</w:t>
      </w:r>
      <w:proofErr w:type="gramEnd"/>
      <w:r>
        <w:rPr>
          <w:rFonts w:eastAsia="Times New Roman" w:cs="Times New Roman"/>
        </w:rPr>
        <w:t xml:space="preserve"> energy storage capacity</w:t>
      </w:r>
    </w:p>
    <w:p w14:paraId="76213EB0" w14:textId="1078C2B1" w:rsidR="00732567" w:rsidRPr="00732567" w:rsidRDefault="00732567" w:rsidP="00732567">
      <w:pPr>
        <w:numPr>
          <w:ilvl w:val="0"/>
          <w:numId w:val="5"/>
        </w:numPr>
        <w:spacing w:before="100" w:beforeAutospacing="1" w:after="100" w:afterAutospacing="1"/>
        <w:rPr>
          <w:rFonts w:eastAsia="Times New Roman" w:cs="Times New Roman"/>
        </w:rPr>
      </w:pPr>
      <w:proofErr w:type="gramStart"/>
      <w:r>
        <w:rPr>
          <w:rFonts w:eastAsia="Times New Roman" w:cs="Times New Roman"/>
        </w:rPr>
        <w:t>poor</w:t>
      </w:r>
      <w:proofErr w:type="gramEnd"/>
      <w:r>
        <w:rPr>
          <w:rFonts w:eastAsia="Times New Roman" w:cs="Times New Roman"/>
        </w:rPr>
        <w:t xml:space="preserve"> operating range (T, state of charge -- charge window)</w:t>
      </w:r>
    </w:p>
    <w:sectPr w:rsidR="00732567" w:rsidRPr="007325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01698"/>
    <w:multiLevelType w:val="multilevel"/>
    <w:tmpl w:val="F35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50E41"/>
    <w:multiLevelType w:val="multilevel"/>
    <w:tmpl w:val="EE0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42191"/>
    <w:multiLevelType w:val="multilevel"/>
    <w:tmpl w:val="CAF4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253F8"/>
    <w:multiLevelType w:val="multilevel"/>
    <w:tmpl w:val="4ECC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C0C26"/>
    <w:multiLevelType w:val="multilevel"/>
    <w:tmpl w:val="9DB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5051B"/>
    <w:multiLevelType w:val="multilevel"/>
    <w:tmpl w:val="FFCA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D52038"/>
    <w:multiLevelType w:val="multilevel"/>
    <w:tmpl w:val="8F7E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FA396D"/>
    <w:multiLevelType w:val="multilevel"/>
    <w:tmpl w:val="B71C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B070A1"/>
    <w:rsid w:val="00301FED"/>
    <w:rsid w:val="0042328B"/>
    <w:rsid w:val="00446AA5"/>
    <w:rsid w:val="0055272F"/>
    <w:rsid w:val="00554C7E"/>
    <w:rsid w:val="00574BDF"/>
    <w:rsid w:val="00732567"/>
    <w:rsid w:val="00B070A1"/>
    <w:rsid w:val="00B8768C"/>
    <w:rsid w:val="00C75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075F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7"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925</Words>
  <Characters>5273</Characters>
  <Application>Microsoft Macintosh Word</Application>
  <DocSecurity>0</DocSecurity>
  <Lines>43</Lines>
  <Paragraphs>12</Paragraphs>
  <ScaleCrop>false</ScaleCrop>
  <Company>Colorado School of Mines</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Power: Integrating Direct Methanol Fuel Cells and Solid State Lithium Ion Batteries</dc:title>
  <dc:subject/>
  <dc:creator>Branden Kappes</dc:creator>
  <cp:keywords/>
  <dc:description/>
  <cp:lastModifiedBy>Branden Kappes</cp:lastModifiedBy>
  <cp:revision>10</cp:revision>
  <dcterms:created xsi:type="dcterms:W3CDTF">2015-01-30T21:42:00Z</dcterms:created>
  <dcterms:modified xsi:type="dcterms:W3CDTF">2015-02-03T03:05:00Z</dcterms:modified>
</cp:coreProperties>
</file>