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106" w:rsidRPr="007C6F1E" w:rsidRDefault="008C5106" w:rsidP="008C5106">
      <w:pPr>
        <w:widowControl w:val="0"/>
        <w:autoSpaceDE w:val="0"/>
        <w:autoSpaceDN w:val="0"/>
        <w:adjustRightInd w:val="0"/>
        <w:spacing w:after="120" w:line="300" w:lineRule="exact"/>
        <w:jc w:val="both"/>
        <w:rPr>
          <w:rFonts w:ascii="Times New Roman" w:hAnsi="Times New Roman" w:cs="Times New Roman"/>
          <w:sz w:val="22"/>
          <w:szCs w:val="22"/>
        </w:rPr>
      </w:pPr>
      <w:r w:rsidRPr="007C6F1E">
        <w:rPr>
          <w:rFonts w:ascii="Times New Roman" w:eastAsia="Cambria" w:hAnsi="Times New Roman" w:cs="Times New Roman"/>
          <w:sz w:val="22"/>
          <w:szCs w:val="22"/>
        </w:rPr>
        <w:t>To</w:t>
      </w:r>
      <w:r w:rsidRPr="007C6F1E">
        <w:rPr>
          <w:rFonts w:ascii="Times New Roman" w:eastAsia="Cambria" w:hAnsi="Times New Roman" w:cs="Times New Roman"/>
          <w:spacing w:val="7"/>
          <w:sz w:val="22"/>
          <w:szCs w:val="22"/>
        </w:rPr>
        <w:t xml:space="preserve"> </w:t>
      </w:r>
      <w:r w:rsidRPr="007C6F1E">
        <w:rPr>
          <w:rFonts w:ascii="Times New Roman" w:eastAsia="Cambria" w:hAnsi="Times New Roman" w:cs="Times New Roman"/>
          <w:sz w:val="22"/>
          <w:szCs w:val="22"/>
        </w:rPr>
        <w:t>address</w:t>
      </w:r>
      <w:r w:rsidRPr="007C6F1E">
        <w:rPr>
          <w:rFonts w:ascii="Times New Roman" w:eastAsia="Cambria" w:hAnsi="Times New Roman" w:cs="Times New Roman"/>
          <w:spacing w:val="9"/>
          <w:sz w:val="22"/>
          <w:szCs w:val="22"/>
        </w:rPr>
        <w:t xml:space="preserve"> </w:t>
      </w:r>
      <w:r w:rsidRPr="007C6F1E">
        <w:rPr>
          <w:rFonts w:ascii="Times New Roman" w:eastAsia="Cambria" w:hAnsi="Times New Roman" w:cs="Times New Roman"/>
          <w:sz w:val="22"/>
          <w:szCs w:val="22"/>
        </w:rPr>
        <w:t>the</w:t>
      </w:r>
      <w:r w:rsidRPr="007C6F1E">
        <w:rPr>
          <w:rFonts w:ascii="Times New Roman" w:eastAsia="Cambria" w:hAnsi="Times New Roman" w:cs="Times New Roman"/>
          <w:spacing w:val="7"/>
          <w:sz w:val="22"/>
          <w:szCs w:val="22"/>
        </w:rPr>
        <w:t xml:space="preserve"> </w:t>
      </w:r>
      <w:r w:rsidRPr="007C6F1E">
        <w:rPr>
          <w:rFonts w:ascii="Times New Roman" w:eastAsia="Cambria" w:hAnsi="Times New Roman" w:cs="Times New Roman"/>
          <w:sz w:val="22"/>
          <w:szCs w:val="22"/>
        </w:rPr>
        <w:t>increasing needs</w:t>
      </w:r>
      <w:r w:rsidRPr="007C6F1E">
        <w:rPr>
          <w:rFonts w:ascii="Times New Roman" w:eastAsia="Cambria" w:hAnsi="Times New Roman" w:cs="Times New Roman"/>
          <w:spacing w:val="7"/>
          <w:sz w:val="22"/>
          <w:szCs w:val="22"/>
        </w:rPr>
        <w:t xml:space="preserve"> </w:t>
      </w:r>
      <w:r w:rsidRPr="007C6F1E">
        <w:rPr>
          <w:rFonts w:ascii="Times New Roman" w:eastAsia="Cambria" w:hAnsi="Times New Roman" w:cs="Times New Roman"/>
          <w:sz w:val="22"/>
          <w:szCs w:val="22"/>
        </w:rPr>
        <w:t>for electrical energy</w:t>
      </w:r>
      <w:r w:rsidRPr="007C6F1E">
        <w:rPr>
          <w:rFonts w:ascii="Times New Roman" w:eastAsia="Cambria" w:hAnsi="Times New Roman" w:cs="Times New Roman"/>
          <w:spacing w:val="3"/>
          <w:sz w:val="22"/>
          <w:szCs w:val="22"/>
        </w:rPr>
        <w:t xml:space="preserve"> </w:t>
      </w:r>
      <w:r w:rsidRPr="007C6F1E">
        <w:rPr>
          <w:rFonts w:ascii="Times New Roman" w:eastAsia="Cambria" w:hAnsi="Times New Roman" w:cs="Times New Roman"/>
          <w:sz w:val="22"/>
          <w:szCs w:val="22"/>
        </w:rPr>
        <w:t>sto</w:t>
      </w:r>
      <w:r w:rsidRPr="007C6F1E">
        <w:rPr>
          <w:rFonts w:ascii="Times New Roman" w:eastAsia="Cambria" w:hAnsi="Times New Roman" w:cs="Times New Roman"/>
          <w:spacing w:val="2"/>
          <w:sz w:val="22"/>
          <w:szCs w:val="22"/>
        </w:rPr>
        <w:t>r</w:t>
      </w:r>
      <w:r w:rsidRPr="007C6F1E">
        <w:rPr>
          <w:rFonts w:ascii="Times New Roman" w:eastAsia="Cambria" w:hAnsi="Times New Roman" w:cs="Times New Roman"/>
          <w:sz w:val="22"/>
          <w:szCs w:val="22"/>
        </w:rPr>
        <w:t>age</w:t>
      </w:r>
      <w:r w:rsidRPr="007C6F1E">
        <w:rPr>
          <w:rFonts w:ascii="Times New Roman" w:eastAsia="Cambria" w:hAnsi="Times New Roman" w:cs="Times New Roman"/>
          <w:spacing w:val="2"/>
          <w:sz w:val="22"/>
          <w:szCs w:val="22"/>
        </w:rPr>
        <w:t xml:space="preserve"> </w:t>
      </w:r>
      <w:r w:rsidRPr="007C6F1E">
        <w:rPr>
          <w:rFonts w:ascii="Times New Roman" w:eastAsia="Cambria" w:hAnsi="Times New Roman" w:cs="Times New Roman"/>
          <w:sz w:val="22"/>
          <w:szCs w:val="22"/>
        </w:rPr>
        <w:t>systems</w:t>
      </w:r>
      <w:r w:rsidRPr="007C6F1E">
        <w:rPr>
          <w:rFonts w:ascii="Times New Roman" w:eastAsia="Cambria" w:hAnsi="Times New Roman" w:cs="Times New Roman"/>
          <w:spacing w:val="1"/>
          <w:sz w:val="22"/>
          <w:szCs w:val="22"/>
        </w:rPr>
        <w:t xml:space="preserve"> </w:t>
      </w:r>
      <w:r w:rsidRPr="007C6F1E">
        <w:rPr>
          <w:rFonts w:ascii="Times New Roman" w:eastAsia="Cambria" w:hAnsi="Times New Roman" w:cs="Times New Roman"/>
          <w:sz w:val="22"/>
          <w:szCs w:val="22"/>
        </w:rPr>
        <w:t>that</w:t>
      </w:r>
      <w:r w:rsidRPr="007C6F1E">
        <w:rPr>
          <w:rFonts w:ascii="Times New Roman" w:eastAsia="Cambria" w:hAnsi="Times New Roman" w:cs="Times New Roman"/>
          <w:spacing w:val="5"/>
          <w:sz w:val="22"/>
          <w:szCs w:val="22"/>
        </w:rPr>
        <w:t xml:space="preserve"> </w:t>
      </w:r>
      <w:r w:rsidRPr="007C6F1E">
        <w:rPr>
          <w:rFonts w:ascii="Times New Roman" w:eastAsia="Cambria" w:hAnsi="Times New Roman" w:cs="Times New Roman"/>
          <w:sz w:val="22"/>
          <w:szCs w:val="22"/>
        </w:rPr>
        <w:t>can</w:t>
      </w:r>
      <w:r w:rsidRPr="007C6F1E">
        <w:rPr>
          <w:rFonts w:ascii="Times New Roman" w:eastAsia="Cambria" w:hAnsi="Times New Roman" w:cs="Times New Roman"/>
          <w:spacing w:val="7"/>
          <w:sz w:val="22"/>
          <w:szCs w:val="22"/>
        </w:rPr>
        <w:t xml:space="preserve"> </w:t>
      </w:r>
      <w:r w:rsidRPr="007C6F1E">
        <w:rPr>
          <w:rFonts w:ascii="Times New Roman" w:eastAsia="Cambria" w:hAnsi="Times New Roman" w:cs="Times New Roman"/>
          <w:sz w:val="22"/>
          <w:szCs w:val="22"/>
        </w:rPr>
        <w:t>be implemented in</w:t>
      </w:r>
      <w:r w:rsidRPr="007C6F1E">
        <w:rPr>
          <w:rFonts w:ascii="Times New Roman" w:eastAsia="Cambria" w:hAnsi="Times New Roman" w:cs="Times New Roman"/>
          <w:spacing w:val="11"/>
          <w:sz w:val="22"/>
          <w:szCs w:val="22"/>
        </w:rPr>
        <w:t xml:space="preserve"> </w:t>
      </w:r>
      <w:r w:rsidRPr="007C6F1E">
        <w:rPr>
          <w:rFonts w:ascii="Times New Roman" w:eastAsia="Cambria" w:hAnsi="Times New Roman" w:cs="Times New Roman"/>
          <w:sz w:val="22"/>
          <w:szCs w:val="22"/>
        </w:rPr>
        <w:t>electric</w:t>
      </w:r>
      <w:r w:rsidRPr="007C6F1E">
        <w:rPr>
          <w:rFonts w:ascii="Times New Roman" w:eastAsia="Cambria" w:hAnsi="Times New Roman" w:cs="Times New Roman"/>
          <w:spacing w:val="12"/>
          <w:sz w:val="22"/>
          <w:szCs w:val="22"/>
        </w:rPr>
        <w:t xml:space="preserve"> </w:t>
      </w:r>
      <w:r w:rsidRPr="007C6F1E">
        <w:rPr>
          <w:rFonts w:ascii="Times New Roman" w:eastAsia="Cambria" w:hAnsi="Times New Roman" w:cs="Times New Roman"/>
          <w:sz w:val="22"/>
          <w:szCs w:val="22"/>
        </w:rPr>
        <w:t>vehicles and for renewable energy,</w:t>
      </w:r>
      <w:r w:rsidRPr="007C6F1E">
        <w:rPr>
          <w:rFonts w:ascii="Times New Roman" w:eastAsia="Cambria" w:hAnsi="Times New Roman" w:cs="Times New Roman"/>
          <w:spacing w:val="12"/>
          <w:sz w:val="22"/>
          <w:szCs w:val="22"/>
        </w:rPr>
        <w:t xml:space="preserve"> </w:t>
      </w:r>
      <w:r w:rsidRPr="007C6F1E">
        <w:rPr>
          <w:rFonts w:ascii="Times New Roman" w:eastAsia="Cambria" w:hAnsi="Times New Roman" w:cs="Times New Roman"/>
          <w:sz w:val="22"/>
          <w:szCs w:val="22"/>
        </w:rPr>
        <w:t>a</w:t>
      </w:r>
      <w:r w:rsidRPr="007C6F1E">
        <w:rPr>
          <w:rFonts w:ascii="Times New Roman" w:eastAsia="Cambria" w:hAnsi="Times New Roman" w:cs="Times New Roman"/>
          <w:spacing w:val="10"/>
          <w:sz w:val="22"/>
          <w:szCs w:val="22"/>
        </w:rPr>
        <w:t xml:space="preserve"> </w:t>
      </w:r>
      <w:r w:rsidRPr="007C6F1E">
        <w:rPr>
          <w:rFonts w:ascii="Times New Roman" w:eastAsia="Cambria" w:hAnsi="Times New Roman" w:cs="Times New Roman"/>
          <w:sz w:val="22"/>
          <w:szCs w:val="22"/>
        </w:rPr>
        <w:t>safe,</w:t>
      </w:r>
      <w:r w:rsidRPr="007C6F1E">
        <w:rPr>
          <w:rFonts w:ascii="Times New Roman" w:eastAsia="Cambria" w:hAnsi="Times New Roman" w:cs="Times New Roman"/>
          <w:spacing w:val="9"/>
          <w:sz w:val="22"/>
          <w:szCs w:val="22"/>
        </w:rPr>
        <w:t xml:space="preserve"> </w:t>
      </w:r>
      <w:r w:rsidRPr="007C6F1E">
        <w:rPr>
          <w:rFonts w:ascii="Times New Roman" w:eastAsia="Cambria" w:hAnsi="Times New Roman" w:cs="Times New Roman"/>
          <w:sz w:val="22"/>
          <w:szCs w:val="22"/>
        </w:rPr>
        <w:t>low</w:t>
      </w:r>
      <w:r w:rsidRPr="007C6F1E">
        <w:rPr>
          <w:rFonts w:ascii="Adobe Caslon Pro" w:eastAsia="Cambria" w:hAnsi="Adobe Caslon Pro" w:cs="Adobe Caslon Pro"/>
          <w:sz w:val="22"/>
          <w:szCs w:val="22"/>
        </w:rPr>
        <w:t>‐</w:t>
      </w:r>
      <w:r w:rsidRPr="007C6F1E">
        <w:rPr>
          <w:rFonts w:ascii="Times New Roman" w:eastAsia="Cambria" w:hAnsi="Times New Roman" w:cs="Times New Roman"/>
          <w:sz w:val="22"/>
          <w:szCs w:val="22"/>
        </w:rPr>
        <w:t>cost,</w:t>
      </w:r>
      <w:r w:rsidRPr="007C6F1E">
        <w:rPr>
          <w:rFonts w:ascii="Times New Roman" w:eastAsia="Cambria" w:hAnsi="Times New Roman" w:cs="Times New Roman"/>
          <w:spacing w:val="15"/>
          <w:sz w:val="22"/>
          <w:szCs w:val="22"/>
        </w:rPr>
        <w:t xml:space="preserve"> </w:t>
      </w:r>
      <w:r w:rsidRPr="007C6F1E">
        <w:rPr>
          <w:rFonts w:ascii="Times New Roman" w:eastAsia="Cambria" w:hAnsi="Times New Roman" w:cs="Times New Roman"/>
          <w:sz w:val="22"/>
          <w:szCs w:val="22"/>
        </w:rPr>
        <w:t>high</w:t>
      </w:r>
      <w:r w:rsidRPr="007C6F1E">
        <w:rPr>
          <w:rFonts w:ascii="Adobe Caslon Pro" w:eastAsia="Cambria" w:hAnsi="Adobe Caslon Pro" w:cs="Adobe Caslon Pro"/>
          <w:sz w:val="22"/>
          <w:szCs w:val="22"/>
        </w:rPr>
        <w:t>‐</w:t>
      </w:r>
      <w:r w:rsidRPr="007C6F1E">
        <w:rPr>
          <w:rFonts w:ascii="Times New Roman" w:eastAsia="Cambria" w:hAnsi="Times New Roman" w:cs="Times New Roman"/>
          <w:sz w:val="22"/>
          <w:szCs w:val="22"/>
        </w:rPr>
        <w:t>energy</w:t>
      </w:r>
      <w:r w:rsidRPr="007C6F1E">
        <w:rPr>
          <w:rFonts w:ascii="Adobe Caslon Pro" w:eastAsia="Cambria" w:hAnsi="Adobe Caslon Pro" w:cs="Adobe Caslon Pro"/>
          <w:sz w:val="22"/>
          <w:szCs w:val="22"/>
        </w:rPr>
        <w:t>‐</w:t>
      </w:r>
      <w:r w:rsidRPr="007C6F1E">
        <w:rPr>
          <w:rFonts w:ascii="Times New Roman" w:eastAsia="Cambria" w:hAnsi="Times New Roman" w:cs="Times New Roman"/>
          <w:sz w:val="22"/>
          <w:szCs w:val="22"/>
        </w:rPr>
        <w:t>density and</w:t>
      </w:r>
      <w:r w:rsidRPr="007C6F1E">
        <w:rPr>
          <w:rFonts w:ascii="Times New Roman" w:eastAsia="Cambria" w:hAnsi="Times New Roman" w:cs="Times New Roman"/>
          <w:spacing w:val="16"/>
          <w:sz w:val="22"/>
          <w:szCs w:val="22"/>
        </w:rPr>
        <w:t xml:space="preserve"> </w:t>
      </w:r>
      <w:r w:rsidRPr="007C6F1E">
        <w:rPr>
          <w:rFonts w:ascii="Times New Roman" w:eastAsia="Cambria" w:hAnsi="Times New Roman" w:cs="Times New Roman"/>
          <w:sz w:val="22"/>
          <w:szCs w:val="22"/>
        </w:rPr>
        <w:t>durable rechargeab</w:t>
      </w:r>
      <w:r w:rsidRPr="007C6F1E">
        <w:rPr>
          <w:rFonts w:ascii="Times New Roman" w:eastAsia="Cambria" w:hAnsi="Times New Roman" w:cs="Times New Roman"/>
          <w:spacing w:val="2"/>
          <w:sz w:val="22"/>
          <w:szCs w:val="22"/>
        </w:rPr>
        <w:t>l</w:t>
      </w:r>
      <w:r w:rsidRPr="007C6F1E">
        <w:rPr>
          <w:rFonts w:ascii="Times New Roman" w:eastAsia="Cambria" w:hAnsi="Times New Roman" w:cs="Times New Roman"/>
          <w:sz w:val="22"/>
          <w:szCs w:val="22"/>
        </w:rPr>
        <w:t>e battery system is in high deman</w:t>
      </w:r>
      <w:r w:rsidRPr="007C6F1E">
        <w:rPr>
          <w:rFonts w:ascii="Times New Roman" w:eastAsia="Cambria" w:hAnsi="Times New Roman" w:cs="Times New Roman"/>
          <w:spacing w:val="1"/>
          <w:sz w:val="22"/>
          <w:szCs w:val="22"/>
        </w:rPr>
        <w:t>d</w:t>
      </w:r>
      <w:r w:rsidRPr="007C6F1E">
        <w:rPr>
          <w:rFonts w:ascii="Times New Roman" w:eastAsia="Cambria" w:hAnsi="Times New Roman" w:cs="Times New Roman"/>
          <w:sz w:val="22"/>
          <w:szCs w:val="22"/>
        </w:rPr>
        <w:t>.</w:t>
      </w:r>
      <w:r w:rsidRPr="007C6F1E">
        <w:rPr>
          <w:rFonts w:ascii="Times New Roman" w:hAnsi="Times New Roman" w:cs="Times New Roman"/>
          <w:color w:val="000000"/>
          <w:sz w:val="22"/>
          <w:szCs w:val="22"/>
        </w:rPr>
        <w:t xml:space="preserve"> An all solid-state battery using solid electrolytes instead of organic liquid electrolytes is expected to have higher energy density than a lithium ion battery using organic liquid electrolytes and having a bipolar stack structure.</w:t>
      </w:r>
      <w:bookmarkStart w:id="0" w:name="_GoBack"/>
      <w:bookmarkEnd w:id="0"/>
      <w:r w:rsidRPr="007C6F1E">
        <w:rPr>
          <w:rFonts w:ascii="Times New Roman" w:hAnsi="Times New Roman" w:cs="Times New Roman"/>
          <w:sz w:val="22"/>
          <w:szCs w:val="22"/>
        </w:rPr>
        <w:t xml:space="preserve"> </w:t>
      </w:r>
      <w:r w:rsidRPr="007C6F1E">
        <w:rPr>
          <w:rFonts w:ascii="Times New Roman" w:hAnsi="Times New Roman" w:cs="Times New Roman"/>
          <w:sz w:val="22"/>
          <w:szCs w:val="22"/>
        </w:rPr>
        <w:t xml:space="preserve">Furthermore, use of </w:t>
      </w:r>
      <w:proofErr w:type="gramStart"/>
      <w:r w:rsidRPr="007C6F1E">
        <w:rPr>
          <w:rFonts w:ascii="Times New Roman" w:hAnsi="Times New Roman" w:cs="Times New Roman"/>
          <w:sz w:val="22"/>
          <w:szCs w:val="22"/>
        </w:rPr>
        <w:t>solid state</w:t>
      </w:r>
      <w:proofErr w:type="gramEnd"/>
      <w:r w:rsidRPr="007C6F1E">
        <w:rPr>
          <w:rFonts w:ascii="Times New Roman" w:hAnsi="Times New Roman" w:cs="Times New Roman"/>
          <w:sz w:val="22"/>
          <w:szCs w:val="22"/>
        </w:rPr>
        <w:t xml:space="preserve"> electrolytes will improve the safety and reliability of lithium secondary batteries. </w:t>
      </w:r>
      <w:r w:rsidRPr="007C6F1E">
        <w:rPr>
          <w:rFonts w:ascii="Times New Roman" w:hAnsi="Times New Roman" w:cs="Times New Roman"/>
          <w:color w:val="000000"/>
          <w:sz w:val="22"/>
          <w:szCs w:val="22"/>
        </w:rPr>
        <w:t xml:space="preserve">All-solid-state batteries can be divided into two types, thin-film-type and bulk-type. For large-scale applications, bulk-type lithium-ion batteries (ASSLBs) with high loadings of active material and solid electrolyte powders, are </w:t>
      </w:r>
      <w:proofErr w:type="gramStart"/>
      <w:r w:rsidRPr="007C6F1E">
        <w:rPr>
          <w:rFonts w:ascii="Times New Roman" w:hAnsi="Times New Roman" w:cs="Times New Roman"/>
          <w:color w:val="000000"/>
          <w:sz w:val="22"/>
          <w:szCs w:val="22"/>
        </w:rPr>
        <w:t>well-suited</w:t>
      </w:r>
      <w:proofErr w:type="gramEnd"/>
      <w:r w:rsidRPr="007C6F1E">
        <w:rPr>
          <w:rFonts w:ascii="Times New Roman" w:hAnsi="Times New Roman" w:cs="Times New Roman"/>
          <w:color w:val="000000"/>
          <w:sz w:val="22"/>
          <w:szCs w:val="22"/>
        </w:rPr>
        <w:t xml:space="preserve"> because of their high energy density. </w:t>
      </w:r>
      <w:r w:rsidRPr="007C6F1E">
        <w:rPr>
          <w:rFonts w:ascii="Times New Roman" w:hAnsi="Times New Roman" w:cs="Times New Roman"/>
          <w:sz w:val="22"/>
          <w:szCs w:val="22"/>
        </w:rPr>
        <w:t xml:space="preserve">However, ASSLBs have crucial challenges for the practical applications, such as poor rate performance and poor contact between the active material and the electrolyte.  In order to overcome the problem of low ionic conductivity in solid electrolytes such as </w:t>
      </w:r>
      <w:proofErr w:type="spellStart"/>
      <w:r w:rsidRPr="007C6F1E">
        <w:rPr>
          <w:rFonts w:ascii="Times New Roman" w:hAnsi="Times New Roman" w:cs="Times New Roman"/>
          <w:sz w:val="22"/>
          <w:szCs w:val="22"/>
        </w:rPr>
        <w:t>LiPON</w:t>
      </w:r>
      <w:proofErr w:type="spellEnd"/>
      <w:r w:rsidRPr="007C6F1E">
        <w:rPr>
          <w:rFonts w:ascii="Times New Roman" w:hAnsi="Times New Roman" w:cs="Times New Roman"/>
          <w:sz w:val="22"/>
          <w:szCs w:val="22"/>
        </w:rPr>
        <w:t xml:space="preserve">, </w:t>
      </w:r>
      <w:r w:rsidRPr="008C5106">
        <w:rPr>
          <w:rFonts w:ascii="Times New Roman" w:hAnsi="Times New Roman" w:cs="Times New Roman"/>
          <w:sz w:val="22"/>
          <w:szCs w:val="22"/>
          <w:highlight w:val="yellow"/>
        </w:rPr>
        <w:t xml:space="preserve">sulfide type electrolytes were developed. </w:t>
      </w:r>
      <w:r w:rsidRPr="008C5106">
        <w:rPr>
          <w:rFonts w:ascii="Times New Roman" w:hAnsi="Times New Roman" w:cs="Times New Roman"/>
          <w:color w:val="000000"/>
          <w:sz w:val="22"/>
          <w:szCs w:val="22"/>
          <w:highlight w:val="yellow"/>
        </w:rPr>
        <w:t>Sulfide-based solid electrolytes Li</w:t>
      </w:r>
      <w:r w:rsidRPr="008C5106">
        <w:rPr>
          <w:rFonts w:ascii="Times New Roman" w:hAnsi="Times New Roman" w:cs="Times New Roman"/>
          <w:color w:val="000000"/>
          <w:sz w:val="22"/>
          <w:szCs w:val="22"/>
          <w:highlight w:val="yellow"/>
          <w:vertAlign w:val="subscript"/>
        </w:rPr>
        <w:t>2</w:t>
      </w:r>
      <w:r w:rsidRPr="008C5106">
        <w:rPr>
          <w:rFonts w:ascii="Times New Roman" w:hAnsi="Times New Roman" w:cs="Times New Roman"/>
          <w:color w:val="000000"/>
          <w:sz w:val="22"/>
          <w:szCs w:val="22"/>
          <w:highlight w:val="yellow"/>
        </w:rPr>
        <w:t>S–P</w:t>
      </w:r>
      <w:r w:rsidRPr="008C5106">
        <w:rPr>
          <w:rFonts w:ascii="Times New Roman" w:hAnsi="Times New Roman" w:cs="Times New Roman"/>
          <w:color w:val="000000"/>
          <w:sz w:val="22"/>
          <w:szCs w:val="22"/>
          <w:highlight w:val="yellow"/>
          <w:vertAlign w:val="subscript"/>
        </w:rPr>
        <w:t>2</w:t>
      </w:r>
      <w:r w:rsidRPr="008C5106">
        <w:rPr>
          <w:rFonts w:ascii="Times New Roman" w:hAnsi="Times New Roman" w:cs="Times New Roman"/>
          <w:color w:val="000000"/>
          <w:sz w:val="22"/>
          <w:szCs w:val="22"/>
          <w:highlight w:val="yellow"/>
        </w:rPr>
        <w:t>S</w:t>
      </w:r>
      <w:r w:rsidRPr="008C5106">
        <w:rPr>
          <w:rFonts w:ascii="Times New Roman" w:hAnsi="Times New Roman" w:cs="Times New Roman"/>
          <w:color w:val="000000"/>
          <w:sz w:val="22"/>
          <w:szCs w:val="22"/>
          <w:highlight w:val="yellow"/>
          <w:vertAlign w:val="subscript"/>
        </w:rPr>
        <w:t>5</w:t>
      </w:r>
      <w:r w:rsidRPr="008C5106">
        <w:rPr>
          <w:rFonts w:ascii="Times New Roman" w:hAnsi="Times New Roman" w:cs="Times New Roman"/>
          <w:color w:val="000000"/>
          <w:sz w:val="22"/>
          <w:szCs w:val="22"/>
          <w:highlight w:val="yellow"/>
        </w:rPr>
        <w:t xml:space="preserve"> and Li</w:t>
      </w:r>
      <w:r w:rsidRPr="008C5106">
        <w:rPr>
          <w:rFonts w:ascii="Times New Roman" w:hAnsi="Times New Roman" w:cs="Times New Roman"/>
          <w:color w:val="000000"/>
          <w:sz w:val="22"/>
          <w:szCs w:val="22"/>
          <w:highlight w:val="yellow"/>
          <w:vertAlign w:val="subscript"/>
        </w:rPr>
        <w:t>2</w:t>
      </w:r>
      <w:r w:rsidRPr="008C5106">
        <w:rPr>
          <w:rFonts w:ascii="Times New Roman" w:hAnsi="Times New Roman" w:cs="Times New Roman"/>
          <w:color w:val="000000"/>
          <w:sz w:val="22"/>
          <w:szCs w:val="22"/>
          <w:highlight w:val="yellow"/>
        </w:rPr>
        <w:t>S–P</w:t>
      </w:r>
      <w:r w:rsidRPr="008C5106">
        <w:rPr>
          <w:rFonts w:ascii="Times New Roman" w:hAnsi="Times New Roman" w:cs="Times New Roman"/>
          <w:color w:val="000000"/>
          <w:sz w:val="22"/>
          <w:szCs w:val="22"/>
          <w:highlight w:val="yellow"/>
          <w:vertAlign w:val="subscript"/>
        </w:rPr>
        <w:t>2</w:t>
      </w:r>
      <w:r w:rsidRPr="008C5106">
        <w:rPr>
          <w:rFonts w:ascii="Times New Roman" w:hAnsi="Times New Roman" w:cs="Times New Roman"/>
          <w:color w:val="000000"/>
          <w:sz w:val="22"/>
          <w:szCs w:val="22"/>
          <w:highlight w:val="yellow"/>
        </w:rPr>
        <w:t>S</w:t>
      </w:r>
      <w:r w:rsidRPr="008C5106">
        <w:rPr>
          <w:rFonts w:ascii="Times New Roman" w:hAnsi="Times New Roman" w:cs="Times New Roman"/>
          <w:color w:val="000000"/>
          <w:sz w:val="22"/>
          <w:szCs w:val="22"/>
          <w:highlight w:val="yellow"/>
          <w:vertAlign w:val="subscript"/>
        </w:rPr>
        <w:t>5</w:t>
      </w:r>
      <w:r w:rsidRPr="008C5106">
        <w:rPr>
          <w:rFonts w:ascii="Times New Roman" w:hAnsi="Times New Roman" w:cs="Times New Roman"/>
          <w:color w:val="000000"/>
          <w:sz w:val="22"/>
          <w:szCs w:val="22"/>
          <w:highlight w:val="yellow"/>
        </w:rPr>
        <w:t>–GeS</w:t>
      </w:r>
      <w:r w:rsidRPr="008C5106">
        <w:rPr>
          <w:rFonts w:ascii="Times New Roman" w:hAnsi="Times New Roman" w:cs="Times New Roman"/>
          <w:color w:val="000000"/>
          <w:sz w:val="22"/>
          <w:szCs w:val="22"/>
          <w:highlight w:val="yellow"/>
          <w:vertAlign w:val="subscript"/>
        </w:rPr>
        <w:t>2</w:t>
      </w:r>
      <w:r w:rsidRPr="008C5106">
        <w:rPr>
          <w:rFonts w:ascii="Times New Roman" w:hAnsi="Times New Roman" w:cs="Times New Roman"/>
          <w:color w:val="000000"/>
          <w:sz w:val="22"/>
          <w:szCs w:val="22"/>
          <w:highlight w:val="yellow"/>
        </w:rPr>
        <w:t xml:space="preserve"> systems offer ion conductivity from 10</w:t>
      </w:r>
      <w:r w:rsidRPr="008C5106">
        <w:rPr>
          <w:rFonts w:ascii="Times New Roman" w:hAnsi="Times New Roman" w:cs="Times New Roman"/>
          <w:color w:val="000000"/>
          <w:sz w:val="22"/>
          <w:szCs w:val="22"/>
          <w:highlight w:val="yellow"/>
          <w:vertAlign w:val="superscript"/>
        </w:rPr>
        <w:t>-3</w:t>
      </w:r>
      <w:r w:rsidRPr="008C5106">
        <w:rPr>
          <w:rFonts w:ascii="Times New Roman" w:hAnsi="Times New Roman" w:cs="Times New Roman"/>
          <w:color w:val="000000"/>
          <w:sz w:val="22"/>
          <w:szCs w:val="22"/>
          <w:highlight w:val="yellow"/>
        </w:rPr>
        <w:t xml:space="preserve"> to 10</w:t>
      </w:r>
      <w:r w:rsidRPr="008C5106">
        <w:rPr>
          <w:rFonts w:ascii="Times New Roman" w:hAnsi="Times New Roman" w:cs="Times New Roman"/>
          <w:b/>
          <w:bCs/>
          <w:color w:val="000000"/>
          <w:sz w:val="22"/>
          <w:szCs w:val="22"/>
          <w:highlight w:val="yellow"/>
        </w:rPr>
        <w:t xml:space="preserve"> </w:t>
      </w:r>
      <w:r w:rsidRPr="008C5106">
        <w:rPr>
          <w:rFonts w:ascii="Times New Roman" w:hAnsi="Times New Roman" w:cs="Times New Roman"/>
          <w:bCs/>
          <w:color w:val="000000"/>
          <w:sz w:val="22"/>
          <w:szCs w:val="22"/>
          <w:highlight w:val="yellow"/>
          <w:vertAlign w:val="superscript"/>
        </w:rPr>
        <w:t>-2</w:t>
      </w:r>
      <w:r w:rsidRPr="008C5106">
        <w:rPr>
          <w:rFonts w:ascii="Times New Roman" w:hAnsi="Times New Roman" w:cs="Times New Roman"/>
          <w:color w:val="000000"/>
          <w:sz w:val="22"/>
          <w:szCs w:val="22"/>
          <w:highlight w:val="yellow"/>
        </w:rPr>
        <w:t xml:space="preserve"> S cm</w:t>
      </w:r>
      <w:r w:rsidRPr="008C5106">
        <w:rPr>
          <w:rFonts w:ascii="Times New Roman" w:hAnsi="Times New Roman" w:cs="Times New Roman"/>
          <w:b/>
          <w:bCs/>
          <w:color w:val="000000"/>
          <w:sz w:val="22"/>
          <w:szCs w:val="22"/>
          <w:highlight w:val="yellow"/>
        </w:rPr>
        <w:t xml:space="preserve"> </w:t>
      </w:r>
      <w:r w:rsidRPr="008C5106">
        <w:rPr>
          <w:rFonts w:ascii="Times New Roman" w:hAnsi="Times New Roman" w:cs="Times New Roman"/>
          <w:bCs/>
          <w:color w:val="000000"/>
          <w:sz w:val="22"/>
          <w:szCs w:val="22"/>
          <w:highlight w:val="yellow"/>
          <w:vertAlign w:val="superscript"/>
        </w:rPr>
        <w:t>-1</w:t>
      </w:r>
      <w:r w:rsidRPr="008C5106">
        <w:rPr>
          <w:rFonts w:ascii="Times New Roman" w:hAnsi="Times New Roman" w:cs="Times New Roman"/>
          <w:color w:val="000000"/>
          <w:sz w:val="22"/>
          <w:szCs w:val="22"/>
          <w:highlight w:val="yellow"/>
        </w:rPr>
        <w:t xml:space="preserve"> at room temperature, similar to liquid electrolytes; and they have a high decomposition potential of 5 V.</w:t>
      </w:r>
      <w:r w:rsidRPr="007C6F1E">
        <w:rPr>
          <w:rFonts w:ascii="Times New Roman" w:hAnsi="Times New Roman" w:cs="Times New Roman"/>
          <w:color w:val="000000"/>
          <w:sz w:val="22"/>
          <w:szCs w:val="22"/>
        </w:rPr>
        <w:t xml:space="preserve"> </w:t>
      </w:r>
      <w:r w:rsidRPr="007C6F1E">
        <w:rPr>
          <w:rFonts w:ascii="Times New Roman" w:hAnsi="Times New Roman" w:cs="Times New Roman"/>
          <w:sz w:val="22"/>
          <w:szCs w:val="22"/>
        </w:rPr>
        <w:t>With these electrolytes, the maximum resistance is observed at the cathode/</w:t>
      </w:r>
      <w:r>
        <w:rPr>
          <w:rFonts w:ascii="Times New Roman" w:hAnsi="Times New Roman" w:cs="Times New Roman"/>
          <w:sz w:val="22"/>
          <w:szCs w:val="22"/>
        </w:rPr>
        <w:t xml:space="preserve">sulfide electrolyte interfaces. </w:t>
      </w:r>
      <w:r w:rsidRPr="007C6F1E">
        <w:rPr>
          <w:rFonts w:ascii="Times New Roman" w:hAnsi="Times New Roman" w:cs="Times New Roman"/>
          <w:sz w:val="22"/>
          <w:szCs w:val="22"/>
        </w:rPr>
        <w:t>Thus, understanding the cathode/electrolyte interface has become an issue of the greatest importance for the improvement in ASSLBs.</w:t>
      </w:r>
    </w:p>
    <w:p w:rsidR="00F64864" w:rsidRDefault="00F64864"/>
    <w:sectPr w:rsidR="00F64864" w:rsidSect="000F58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106"/>
    <w:rsid w:val="000F5830"/>
    <w:rsid w:val="008C5106"/>
    <w:rsid w:val="00F64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62A0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1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1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1397</Characters>
  <Application>Microsoft Macintosh Word</Application>
  <DocSecurity>0</DocSecurity>
  <Lines>11</Lines>
  <Paragraphs>3</Paragraphs>
  <ScaleCrop>false</ScaleCrop>
  <Company>NREL</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cBan</dc:creator>
  <cp:keywords/>
  <dc:description/>
  <cp:lastModifiedBy>cBan</cp:lastModifiedBy>
  <cp:revision>1</cp:revision>
  <dcterms:created xsi:type="dcterms:W3CDTF">2015-02-20T22:11:00Z</dcterms:created>
  <dcterms:modified xsi:type="dcterms:W3CDTF">2015-02-20T22:14:00Z</dcterms:modified>
</cp:coreProperties>
</file>