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613"/>
      </w:tblGrid>
      <w:tr w:rsidR="008B2A85" w14:paraId="75803399" w14:textId="77777777" w:rsidTr="00F90620">
        <w:trPr>
          <w:trHeight w:val="1953"/>
        </w:trPr>
        <w:tc>
          <w:tcPr>
            <w:tcW w:w="7613" w:type="dxa"/>
            <w:shd w:val="clear" w:color="auto" w:fill="0B1B33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6F2A8B8F" w14:textId="779A8A72" w:rsidR="008B2A85" w:rsidRDefault="00000000" w:rsidP="00F9062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60"/>
              </w:rPr>
              <w:t>OrgPulse</w:t>
            </w:r>
            <w:proofErr w:type="spellEnd"/>
          </w:p>
          <w:p w14:paraId="4E38D194" w14:textId="77777777" w:rsidR="008B2A85" w:rsidRDefault="00000000" w:rsidP="00F90620">
            <w:pPr>
              <w:rPr>
                <w:rFonts w:hint="eastAsia"/>
              </w:rPr>
            </w:pPr>
            <w:r>
              <w:rPr>
                <w:color w:val="BFD7F2"/>
                <w:sz w:val="24"/>
              </w:rPr>
              <w:t>Salesforce Architecture Health &amp; Insights — right inside VS Code</w:t>
            </w:r>
          </w:p>
          <w:p w14:paraId="74CCF281" w14:textId="77777777" w:rsidR="008B2A85" w:rsidRDefault="00000000" w:rsidP="00F90620">
            <w:pPr>
              <w:spacing w:before="120"/>
              <w:rPr>
                <w:rFonts w:hint="eastAsia"/>
              </w:rPr>
            </w:pPr>
            <w:r>
              <w:rPr>
                <w:color w:val="8FB6E6"/>
                <w:sz w:val="19"/>
              </w:rPr>
              <w:t>Product Overview   ·   v1.11.0   ·   June 2026</w:t>
            </w:r>
          </w:p>
        </w:tc>
      </w:tr>
    </w:tbl>
    <w:p w14:paraId="524874A2" w14:textId="0AC8C329" w:rsidR="008B2A85" w:rsidRDefault="00F90620">
      <w:pPr>
        <w:spacing w:after="1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EE8CA5" wp14:editId="0C9D54BE">
            <wp:extent cx="1672046" cy="1672046"/>
            <wp:effectExtent l="0" t="0" r="4445" b="4445"/>
            <wp:docPr id="672520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0569" name="Picture 6725205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563" cy="169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0AF5506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Executive Summary</w:t>
      </w:r>
    </w:p>
    <w:p w14:paraId="215DAFC8" w14:textId="625299F8" w:rsidR="008B2A85" w:rsidRPr="00090939" w:rsidRDefault="00000000">
      <w:pPr>
        <w:spacing w:after="80"/>
        <w:rPr>
          <w:rFonts w:hint="eastAsia"/>
          <w:sz w:val="24"/>
          <w:szCs w:val="32"/>
        </w:rPr>
      </w:pPr>
      <w:r w:rsidRPr="00090939">
        <w:rPr>
          <w:sz w:val="24"/>
          <w:szCs w:val="32"/>
        </w:rPr>
        <w:t xml:space="preserve">OrgPulse turns a Salesforce org's hidden complexity into a clear, continuous health signal. It connects to an authenticated org through the Salesforce CLI, analyses metadata across 17 architecture dimensions, scores overall health 0–100 with an A–F grade and surfaces </w:t>
      </w:r>
      <w:r w:rsidR="005D3AB0" w:rsidRPr="00090939">
        <w:rPr>
          <w:sz w:val="24"/>
          <w:szCs w:val="32"/>
        </w:rPr>
        <w:t>prioritized</w:t>
      </w:r>
      <w:r w:rsidRPr="00090939">
        <w:rPr>
          <w:sz w:val="24"/>
          <w:szCs w:val="32"/>
        </w:rPr>
        <w:t>, actionable findings — all without leaving the developer's IDE.</w:t>
      </w:r>
    </w:p>
    <w:p w14:paraId="222D5503" w14:textId="77777777" w:rsidR="008B2A85" w:rsidRPr="00090939" w:rsidRDefault="00000000">
      <w:pPr>
        <w:spacing w:after="120"/>
        <w:rPr>
          <w:rFonts w:hint="eastAsia"/>
          <w:sz w:val="24"/>
          <w:szCs w:val="32"/>
        </w:rPr>
      </w:pPr>
      <w:r w:rsidRPr="00090939">
        <w:rPr>
          <w:sz w:val="24"/>
          <w:szCs w:val="32"/>
        </w:rPr>
        <w:t>Beyond static analysis, OrgPulse adds an AI layer that is model-agnostic: it works with any model available through VS Code (Claude, GPT, Codex, Gemini) or a fully local model (Ollama / LM Studio) with no cloud dependency. Architects can generate a boardroom-grade CTA Architecture Review, or use “Ask the Architect” to query the live org in plain language. Everything runs metadata-only and local-first, so sensitive data never leaves the environment without explicit consent.</w:t>
      </w:r>
    </w:p>
    <w:p w14:paraId="70612F33" w14:textId="77777777" w:rsidR="008B2A85" w:rsidRDefault="008B2A85">
      <w:pPr>
        <w:spacing w:after="80"/>
        <w:rPr>
          <w:rFonts w:hint="eastAsia"/>
        </w:rPr>
      </w:pPr>
    </w:p>
    <w:p w14:paraId="05FE141A" w14:textId="77777777" w:rsidR="00090939" w:rsidRDefault="00090939" w:rsidP="00090939">
      <w:pPr>
        <w:rPr>
          <w:b/>
          <w:color w:val="0176D3"/>
          <w:sz w:val="30"/>
        </w:rPr>
      </w:pPr>
      <w:r w:rsidRPr="00090939">
        <w:drawing>
          <wp:inline distT="0" distB="0" distL="0" distR="0" wp14:anchorId="1F130D9A" wp14:editId="130AECE8">
            <wp:extent cx="6492240" cy="2350135"/>
            <wp:effectExtent l="0" t="0" r="0" b="0"/>
            <wp:docPr id="10728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89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3028" w14:textId="77777777" w:rsidR="00090939" w:rsidRDefault="00090939" w:rsidP="00090939">
      <w:pPr>
        <w:rPr>
          <w:b/>
          <w:color w:val="0176D3"/>
          <w:sz w:val="30"/>
        </w:rPr>
      </w:pPr>
    </w:p>
    <w:p w14:paraId="2CE90DB9" w14:textId="77777777" w:rsidR="00090939" w:rsidRDefault="00090939" w:rsidP="00090939">
      <w:pPr>
        <w:rPr>
          <w:b/>
          <w:color w:val="0176D3"/>
          <w:sz w:val="30"/>
        </w:rPr>
      </w:pPr>
    </w:p>
    <w:p w14:paraId="008BD88E" w14:textId="77777777" w:rsidR="00090939" w:rsidRDefault="00090939" w:rsidP="00090939">
      <w:pPr>
        <w:rPr>
          <w:b/>
          <w:color w:val="0176D3"/>
          <w:sz w:val="30"/>
        </w:rPr>
      </w:pPr>
    </w:p>
    <w:p w14:paraId="0DDEFFAC" w14:textId="5239A44F" w:rsidR="008B2A85" w:rsidRDefault="00000000" w:rsidP="00090939">
      <w:pPr>
        <w:rPr>
          <w:rFonts w:hint="eastAsia"/>
        </w:rPr>
      </w:pPr>
      <w:r>
        <w:rPr>
          <w:b/>
          <w:color w:val="0176D3"/>
          <w:sz w:val="30"/>
        </w:rPr>
        <w:lastRenderedPageBreak/>
        <w:t xml:space="preserve">01 </w:t>
      </w:r>
      <w:r w:rsidRPr="005D3AB0">
        <w:rPr>
          <w:b/>
          <w:sz w:val="36"/>
          <w:szCs w:val="28"/>
        </w:rPr>
        <w:t>The Problem</w:t>
      </w:r>
    </w:p>
    <w:p w14:paraId="3F0316BE" w14:textId="77777777" w:rsidR="008B2A85" w:rsidRPr="005D3AB0" w:rsidRDefault="00000000">
      <w:pPr>
        <w:spacing w:after="80"/>
        <w:rPr>
          <w:rFonts w:hint="eastAsia"/>
          <w:sz w:val="24"/>
          <w:szCs w:val="32"/>
        </w:rPr>
      </w:pPr>
      <w:r w:rsidRPr="005D3AB0">
        <w:rPr>
          <w:sz w:val="24"/>
          <w:szCs w:val="32"/>
        </w:rPr>
        <w:t>Salesforce orgs accrete complexity faster than any team can manually track. Years of clicks and code leave behind systemic risk that traditional reviews miss:</w:t>
      </w:r>
    </w:p>
    <w:p w14:paraId="748C45C5" w14:textId="07500D10" w:rsidR="008B2A85" w:rsidRPr="005D3AB0" w:rsidRDefault="005D3AB0">
      <w:pPr>
        <w:spacing w:after="40"/>
        <w:ind w:left="200"/>
        <w:rPr>
          <w:rFonts w:hint="eastAsia"/>
          <w:sz w:val="24"/>
          <w:szCs w:val="32"/>
        </w:rPr>
      </w:pPr>
      <w:r w:rsidRPr="005D3AB0">
        <w:rPr>
          <w:rFonts w:ascii="Segoe UI Symbol" w:hAnsi="Segoe UI Symbol" w:cs="Segoe UI Symbol"/>
          <w:b/>
          <w:color w:val="0176D3"/>
          <w:sz w:val="24"/>
          <w:szCs w:val="32"/>
        </w:rPr>
        <w:t>▸</w:t>
      </w:r>
      <w:r w:rsidRPr="005D3AB0">
        <w:rPr>
          <w:b/>
          <w:color w:val="0176D3"/>
          <w:sz w:val="24"/>
          <w:szCs w:val="32"/>
        </w:rPr>
        <w:t xml:space="preserve"> Hidden</w:t>
      </w:r>
      <w:r w:rsidR="00000000" w:rsidRPr="005D3AB0">
        <w:rPr>
          <w:b/>
          <w:sz w:val="24"/>
          <w:szCs w:val="32"/>
        </w:rPr>
        <w:t xml:space="preserve"> technical debt — </w:t>
      </w:r>
      <w:r w:rsidR="00000000" w:rsidRPr="005D3AB0">
        <w:rPr>
          <w:color w:val="5A6473"/>
          <w:sz w:val="24"/>
          <w:szCs w:val="32"/>
        </w:rPr>
        <w:t xml:space="preserve">trigger sprawl, SOQL/DML in loops, and </w:t>
      </w:r>
      <w:r w:rsidR="00090939" w:rsidRPr="005D3AB0">
        <w:rPr>
          <w:color w:val="5A6473"/>
          <w:sz w:val="24"/>
          <w:szCs w:val="32"/>
        </w:rPr>
        <w:t>unused</w:t>
      </w:r>
      <w:r w:rsidR="00000000" w:rsidRPr="005D3AB0">
        <w:rPr>
          <w:color w:val="5A6473"/>
          <w:sz w:val="24"/>
          <w:szCs w:val="32"/>
        </w:rPr>
        <w:t xml:space="preserve"> </w:t>
      </w:r>
      <w:r w:rsidR="00090939" w:rsidRPr="005D3AB0">
        <w:rPr>
          <w:color w:val="5A6473"/>
          <w:sz w:val="24"/>
          <w:szCs w:val="32"/>
        </w:rPr>
        <w:t>metadata</w:t>
      </w:r>
      <w:r w:rsidR="00000000" w:rsidRPr="005D3AB0">
        <w:rPr>
          <w:color w:val="5A6473"/>
          <w:sz w:val="24"/>
          <w:szCs w:val="32"/>
        </w:rPr>
        <w:t xml:space="preserve"> accumulate silently.</w:t>
      </w:r>
    </w:p>
    <w:p w14:paraId="445D9319" w14:textId="33C2C62E" w:rsidR="008B2A85" w:rsidRPr="005D3AB0" w:rsidRDefault="005D3AB0">
      <w:pPr>
        <w:spacing w:after="40"/>
        <w:ind w:left="200"/>
        <w:rPr>
          <w:rFonts w:hint="eastAsia"/>
          <w:sz w:val="24"/>
          <w:szCs w:val="32"/>
        </w:rPr>
      </w:pPr>
      <w:r w:rsidRPr="005D3AB0">
        <w:rPr>
          <w:rFonts w:ascii="Segoe UI Symbol" w:hAnsi="Segoe UI Symbol" w:cs="Segoe UI Symbol"/>
          <w:b/>
          <w:color w:val="0176D3"/>
          <w:sz w:val="24"/>
          <w:szCs w:val="32"/>
        </w:rPr>
        <w:t>▸</w:t>
      </w:r>
      <w:r w:rsidRPr="005D3AB0">
        <w:rPr>
          <w:b/>
          <w:color w:val="0176D3"/>
          <w:sz w:val="24"/>
          <w:szCs w:val="32"/>
        </w:rPr>
        <w:t xml:space="preserve"> Security</w:t>
      </w:r>
      <w:r w:rsidR="00000000" w:rsidRPr="005D3AB0">
        <w:rPr>
          <w:b/>
          <w:sz w:val="24"/>
          <w:szCs w:val="32"/>
        </w:rPr>
        <w:t xml:space="preserve"> &amp; performance risk — </w:t>
      </w:r>
      <w:r w:rsidR="00000000" w:rsidRPr="005D3AB0">
        <w:rPr>
          <w:color w:val="5A6473"/>
          <w:sz w:val="24"/>
          <w:szCs w:val="32"/>
        </w:rPr>
        <w:t xml:space="preserve">over-broad permissions, exposed </w:t>
      </w:r>
      <w:r w:rsidR="00090939" w:rsidRPr="005D3AB0">
        <w:rPr>
          <w:color w:val="5A6473"/>
          <w:sz w:val="24"/>
          <w:szCs w:val="32"/>
        </w:rPr>
        <w:t>permissions</w:t>
      </w:r>
      <w:r w:rsidR="00000000" w:rsidRPr="005D3AB0">
        <w:rPr>
          <w:color w:val="5A6473"/>
          <w:sz w:val="24"/>
          <w:szCs w:val="32"/>
        </w:rPr>
        <w:t>, and non-selective queries surface in production.</w:t>
      </w:r>
    </w:p>
    <w:p w14:paraId="54E0FB93" w14:textId="77777777" w:rsidR="008B2A85" w:rsidRPr="005D3AB0" w:rsidRDefault="00000000">
      <w:pPr>
        <w:spacing w:after="40"/>
        <w:ind w:left="200"/>
        <w:rPr>
          <w:rFonts w:hint="eastAsia"/>
          <w:sz w:val="24"/>
          <w:szCs w:val="32"/>
        </w:rPr>
      </w:pPr>
      <w:r w:rsidRPr="005D3AB0">
        <w:rPr>
          <w:b/>
          <w:color w:val="0176D3"/>
          <w:sz w:val="24"/>
          <w:szCs w:val="32"/>
        </w:rPr>
        <w:t xml:space="preserve">▸  </w:t>
      </w:r>
      <w:r w:rsidRPr="005D3AB0">
        <w:rPr>
          <w:b/>
          <w:sz w:val="24"/>
          <w:szCs w:val="32"/>
        </w:rPr>
        <w:t xml:space="preserve">No continuous visibility — </w:t>
      </w:r>
      <w:r w:rsidRPr="005D3AB0">
        <w:rPr>
          <w:color w:val="5A6473"/>
          <w:sz w:val="24"/>
          <w:szCs w:val="32"/>
        </w:rPr>
        <w:t>architecture health is a point-in-time PDF, not a living signal teams can act on.</w:t>
      </w:r>
    </w:p>
    <w:p w14:paraId="562019E8" w14:textId="77777777" w:rsidR="008B2A85" w:rsidRPr="005D3AB0" w:rsidRDefault="00000000">
      <w:pPr>
        <w:spacing w:after="40"/>
        <w:ind w:left="200"/>
        <w:rPr>
          <w:rFonts w:hint="eastAsia"/>
          <w:sz w:val="24"/>
          <w:szCs w:val="32"/>
        </w:rPr>
      </w:pPr>
      <w:r w:rsidRPr="005D3AB0">
        <w:rPr>
          <w:b/>
          <w:color w:val="0176D3"/>
          <w:sz w:val="24"/>
          <w:szCs w:val="32"/>
        </w:rPr>
        <w:t xml:space="preserve">▸  </w:t>
      </w:r>
      <w:r w:rsidRPr="005D3AB0">
        <w:rPr>
          <w:b/>
          <w:sz w:val="24"/>
          <w:szCs w:val="32"/>
        </w:rPr>
        <w:t xml:space="preserve">Expensive expert reviews — </w:t>
      </w:r>
      <w:r w:rsidRPr="005D3AB0">
        <w:rPr>
          <w:color w:val="5A6473"/>
          <w:sz w:val="24"/>
          <w:szCs w:val="32"/>
        </w:rPr>
        <w:t>a Certified Technical Architect engagement is costly and infrequent — gaps go unseen between reviews.</w:t>
      </w:r>
    </w:p>
    <w:p w14:paraId="288EBB84" w14:textId="77777777" w:rsidR="008B2A85" w:rsidRPr="005D3AB0" w:rsidRDefault="008B2A85">
      <w:pPr>
        <w:spacing w:after="40"/>
        <w:rPr>
          <w:rFonts w:hint="eastAsia"/>
          <w:sz w:val="22"/>
          <w:szCs w:val="28"/>
        </w:rPr>
      </w:pPr>
    </w:p>
    <w:p w14:paraId="06BC6F74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The Solution — Before → After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B2A85" w14:paraId="68A43D55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001E"/>
            <w:vAlign w:val="center"/>
          </w:tcPr>
          <w:p w14:paraId="060C66F9" w14:textId="77777777" w:rsidR="008B2A85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Without OrgPulse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844A"/>
            <w:vAlign w:val="center"/>
          </w:tcPr>
          <w:p w14:paraId="24D709EB" w14:textId="77777777" w:rsidR="008B2A85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With OrgPulse</w:t>
            </w:r>
          </w:p>
        </w:tc>
      </w:tr>
      <w:tr w:rsidR="008B2A85" w14:paraId="1447176A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9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1D239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Manual reviews miss systemic patterns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C793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Automated analysis of every class, trigger, Flow &amp; object</w:t>
            </w:r>
          </w:p>
        </w:tc>
      </w:tr>
      <w:tr w:rsidR="008B2A85" w14:paraId="205C7072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9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FC27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Security gaps lurk in permissions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11F3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Dedicated security scanner flags risks instantly</w:t>
            </w:r>
          </w:p>
        </w:tc>
      </w:tr>
      <w:tr w:rsidR="008B2A85" w14:paraId="36660F5D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9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7EBD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Tech debt builds silently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CA6A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Quantified health score with run-over-run trend</w:t>
            </w:r>
          </w:p>
        </w:tc>
      </w:tr>
      <w:tr w:rsidR="008B2A85" w14:paraId="499DB2C9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9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27DF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SOQL issues found in production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E5B9F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Live query selectivity (EXPLAIN) before deploy</w:t>
            </w:r>
          </w:p>
        </w:tc>
      </w:tr>
      <w:tr w:rsidR="008B2A85" w14:paraId="7C7B300B" w14:textId="77777777">
        <w:trPr>
          <w:jc w:val="center"/>
        </w:trPr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9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A28F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CTA reviews are slow and periodic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7F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241C" w14:textId="77777777" w:rsidR="008B2A85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CTA-grade AI review on demand, in minutes</w:t>
            </w:r>
          </w:p>
        </w:tc>
      </w:tr>
    </w:tbl>
    <w:p w14:paraId="1CEF0917" w14:textId="77777777" w:rsidR="008B2A85" w:rsidRDefault="008B2A85">
      <w:pPr>
        <w:spacing w:after="120"/>
        <w:rPr>
          <w:rFonts w:hint="eastAsia"/>
        </w:rPr>
      </w:pPr>
    </w:p>
    <w:p w14:paraId="193C6AD5" w14:textId="75502564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 xml:space="preserve">Who Benefits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B2A85" w14:paraId="6D977B42" w14:textId="77777777">
        <w:tc>
          <w:tcPr>
            <w:tcW w:w="2556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B3F0D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sz w:val="32"/>
              </w:rPr>
              <w:t>👩‍💻</w:t>
            </w:r>
          </w:p>
          <w:p w14:paraId="1F0EAF1D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Developers</w:t>
            </w:r>
          </w:p>
          <w:p w14:paraId="1160B9C3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Inline issues with file/line, AI fixes, quick wins.</w:t>
            </w:r>
          </w:p>
        </w:tc>
        <w:tc>
          <w:tcPr>
            <w:tcW w:w="2556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3399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sz w:val="32"/>
              </w:rPr>
              <w:t>🏛️</w:t>
            </w:r>
          </w:p>
          <w:p w14:paraId="4A854832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Architects</w:t>
            </w:r>
          </w:p>
          <w:p w14:paraId="762F870B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CTA review, dependency graph, LDV &amp; governor risk.</w:t>
            </w:r>
          </w:p>
        </w:tc>
        <w:tc>
          <w:tcPr>
            <w:tcW w:w="2556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CABE2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sz w:val="32"/>
              </w:rPr>
              <w:t>📈</w:t>
            </w:r>
          </w:p>
          <w:p w14:paraId="363AAC62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Tech Leads / Mgrs</w:t>
            </w:r>
          </w:p>
          <w:p w14:paraId="03F3F6AF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Grade, trend, and risk at a glance — no code needed.</w:t>
            </w:r>
          </w:p>
        </w:tc>
        <w:tc>
          <w:tcPr>
            <w:tcW w:w="2556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B4B33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sz w:val="32"/>
              </w:rPr>
              <w:t>🎓</w:t>
            </w:r>
          </w:p>
          <w:p w14:paraId="0090C324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CTAs / Reviewers</w:t>
            </w:r>
          </w:p>
          <w:p w14:paraId="4C9AE6DD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Repeatable, evidence-based architecture assessments.</w:t>
            </w:r>
          </w:p>
        </w:tc>
      </w:tr>
    </w:tbl>
    <w:p w14:paraId="67608983" w14:textId="77777777" w:rsidR="008B2A85" w:rsidRDefault="008B2A85">
      <w:pPr>
        <w:spacing w:after="80"/>
        <w:rPr>
          <w:rFonts w:hint="eastAsia"/>
        </w:rPr>
      </w:pPr>
    </w:p>
    <w:p w14:paraId="7D884E10" w14:textId="77777777" w:rsidR="008B2A85" w:rsidRDefault="00000000">
      <w:pPr>
        <w:spacing w:after="40"/>
        <w:rPr>
          <w:rFonts w:hint="eastAsia"/>
        </w:rPr>
      </w:pPr>
      <w:r>
        <w:rPr>
          <w:b/>
        </w:rPr>
        <w:t>End customers:</w:t>
      </w:r>
    </w:p>
    <w:p w14:paraId="7127B618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Salesforce SIs &amp; consulting partners — </w:t>
      </w:r>
      <w:r>
        <w:rPr>
          <w:color w:val="5A6473"/>
        </w:rPr>
        <w:t>standardise delivery quality and health hand-offs across clients.</w:t>
      </w:r>
    </w:p>
    <w:p w14:paraId="1B81A158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AppExchange ISVs — </w:t>
      </w:r>
      <w:r>
        <w:rPr>
          <w:color w:val="5A6473"/>
        </w:rPr>
        <w:t>pass Security Review faster and keep managed packages clean.</w:t>
      </w:r>
    </w:p>
    <w:p w14:paraId="571772BA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Large-org enterprises — </w:t>
      </w:r>
      <w:r>
        <w:rPr>
          <w:color w:val="5A6473"/>
        </w:rPr>
        <w:t>continuous architecture governance for high-volume, mission-critical orgs.</w:t>
      </w:r>
    </w:p>
    <w:p w14:paraId="39992788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Managed service providers — </w:t>
      </w:r>
      <w:r>
        <w:rPr>
          <w:color w:val="5A6473"/>
        </w:rPr>
        <w:t>monitor many orgs with repeatable, exportable scorecards.</w:t>
      </w:r>
    </w:p>
    <w:p w14:paraId="438E5DB4" w14:textId="77777777" w:rsidR="008B2A85" w:rsidRDefault="00000000">
      <w:pPr>
        <w:rPr>
          <w:rFonts w:hint="eastAsia"/>
        </w:rPr>
      </w:pPr>
      <w:r>
        <w:br w:type="page"/>
      </w:r>
    </w:p>
    <w:p w14:paraId="47AD9F4D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color w:val="0176D3"/>
          <w:sz w:val="30"/>
        </w:rPr>
        <w:lastRenderedPageBreak/>
        <w:t xml:space="preserve">02  </w:t>
      </w:r>
      <w:r>
        <w:rPr>
          <w:b/>
          <w:sz w:val="30"/>
        </w:rPr>
        <w:t>Features &amp; Capabilities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B2A85" w14:paraId="7B4BA2C9" w14:textId="77777777"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52FCD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🔬 17-Analyzer Engine</w:t>
            </w:r>
          </w:p>
          <w:p w14:paraId="29C7BBB8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Apex quality, automation design, data model, query performance, test coverage, security &amp; permissions, integrations, governor limits, LWC, dependencies, technical debt, CTA architecture &amp; more.</w:t>
            </w:r>
          </w:p>
        </w:tc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93910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🧠 Model-Agnostic AI</w:t>
            </w:r>
          </w:p>
          <w:p w14:paraId="3B8F15FF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Use any VS Code language model (Claude, GPT, Codex, Gemini) or a fully local model (Ollama / LM Studio) — no Copilot lock-in, no cloud requirement.</w:t>
            </w:r>
          </w:p>
        </w:tc>
      </w:tr>
      <w:tr w:rsidR="008B2A85" w14:paraId="4565A14A" w14:textId="77777777"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0058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💬 Ask the Architect</w:t>
            </w:r>
          </w:p>
          <w:p w14:paraId="6466E517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Tool-augmented, read-only live Q&amp;A — the AI runs SOQL / limits / EXPLAIN against your org to answer architecture questions grounded in real data.</w:t>
            </w:r>
          </w:p>
        </w:tc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F9B3D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🎯 CTA Architecture Review</w:t>
            </w:r>
          </w:p>
          <w:p w14:paraId="06A364FB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On-demand, boardroom-grade AI report: verdict, maturity, risk heatmap, domain findings, and prioritised recommendations.</w:t>
            </w:r>
          </w:p>
        </w:tc>
      </w:tr>
      <w:tr w:rsidR="008B2A85" w14:paraId="5B45BEAC" w14:textId="77777777"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95EE2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📊 Interactive Dashboard</w:t>
            </w:r>
          </w:p>
          <w:p w14:paraId="21E9FD7D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Health score ring + A–F grade, run-over-run trend, drill-down per issue, live governor limits, and domain tabs.</w:t>
            </w:r>
          </w:p>
        </w:tc>
        <w:tc>
          <w:tcPr>
            <w:tcW w:w="5112" w:type="dxa"/>
            <w:tcBorders>
              <w:top w:val="single" w:sz="4" w:space="0" w:color="C9D4E2"/>
              <w:left w:val="single" w:sz="4" w:space="0" w:color="C9D4E2"/>
              <w:bottom w:val="single" w:sz="4" w:space="0" w:color="C9D4E2"/>
              <w:right w:val="single" w:sz="4" w:space="0" w:color="C9D4E2"/>
            </w:tcBorders>
            <w:shd w:val="clear" w:color="auto" w:fill="F2F5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E61C7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21"/>
              </w:rPr>
              <w:t>📤 Multi-Format Export</w:t>
            </w:r>
          </w:p>
          <w:p w14:paraId="44E9E011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HTML (stakeholders), JSON (tooling), SARIF 2.1.0 (GitHub code scanning / PR checks), CSV, and PDF.</w:t>
            </w:r>
          </w:p>
        </w:tc>
      </w:tr>
    </w:tbl>
    <w:p w14:paraId="1DB0A5CD" w14:textId="77777777" w:rsidR="008B2A85" w:rsidRDefault="008B2A85">
      <w:pPr>
        <w:spacing w:after="120"/>
        <w:rPr>
          <w:rFonts w:hint="eastAsia"/>
        </w:rPr>
      </w:pPr>
    </w:p>
    <w:p w14:paraId="1CD570BB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Security-First by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B2A85" w14:paraId="4A1087EE" w14:textId="77777777">
        <w:tc>
          <w:tcPr>
            <w:tcW w:w="3408" w:type="dxa"/>
            <w:tcBorders>
              <w:top w:val="single" w:sz="8" w:space="0" w:color="2E844A"/>
              <w:left w:val="single" w:sz="8" w:space="0" w:color="2E844A"/>
              <w:bottom w:val="single" w:sz="8" w:space="0" w:color="2E844A"/>
              <w:right w:val="single" w:sz="8" w:space="0" w:color="2E844A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285CF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E844A"/>
              </w:rPr>
              <w:t>🟢 Safe</w:t>
            </w:r>
          </w:p>
          <w:p w14:paraId="4FE421CD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100% local — no AI, no network traffic.</w:t>
            </w:r>
          </w:p>
        </w:tc>
        <w:tc>
          <w:tcPr>
            <w:tcW w:w="3408" w:type="dxa"/>
            <w:tcBorders>
              <w:top w:val="single" w:sz="8" w:space="0" w:color="FE9339"/>
              <w:left w:val="single" w:sz="8" w:space="0" w:color="FE9339"/>
              <w:bottom w:val="single" w:sz="8" w:space="0" w:color="FE9339"/>
              <w:right w:val="single" w:sz="8" w:space="0" w:color="FE9339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99E0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E9339"/>
              </w:rPr>
              <w:t>🟡 Standard</w:t>
            </w:r>
          </w:p>
          <w:p w14:paraId="38A90F80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AI on aggregated insights only — no raw metadata sent.</w:t>
            </w:r>
          </w:p>
        </w:tc>
        <w:tc>
          <w:tcPr>
            <w:tcW w:w="3408" w:type="dxa"/>
            <w:tcBorders>
              <w:top w:val="single" w:sz="8" w:space="0" w:color="EA001E"/>
              <w:left w:val="single" w:sz="8" w:space="0" w:color="EA001E"/>
              <w:bottom w:val="single" w:sz="8" w:space="0" w:color="EA001E"/>
              <w:right w:val="single" w:sz="8" w:space="0" w:color="EA001E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4755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EA001E"/>
              </w:rPr>
              <w:t>🔴 Advanced</w:t>
            </w:r>
          </w:p>
          <w:p w14:paraId="33D694A0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6"/>
              </w:rPr>
              <w:t>Deeper AI reasoning with explicit per-session consent.</w:t>
            </w:r>
          </w:p>
        </w:tc>
      </w:tr>
    </w:tbl>
    <w:p w14:paraId="773B8C13" w14:textId="77777777" w:rsidR="008B2A85" w:rsidRDefault="008B2A85">
      <w:pPr>
        <w:spacing w:after="80"/>
        <w:rPr>
          <w:rFonts w:hint="eastAsia"/>
        </w:rPr>
      </w:pPr>
    </w:p>
    <w:p w14:paraId="4279B435" w14:textId="77777777" w:rsidR="008B2A85" w:rsidRDefault="00000000">
      <w:pPr>
        <w:spacing w:after="120"/>
        <w:rPr>
          <w:rFonts w:hint="eastAsia"/>
        </w:rPr>
      </w:pPr>
      <w:r>
        <w:rPr>
          <w:color w:val="5A6473"/>
          <w:sz w:val="18"/>
        </w:rPr>
        <w:t>Metadata-only · no record data or PII accessed · nothing stored outside your environment · AI is consent-gated and, with a local model, fully offline.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B2A85" w14:paraId="07FE8497" w14:textId="77777777">
        <w:trPr>
          <w:trHeight w:val="1840"/>
          <w:jc w:val="center"/>
        </w:trPr>
        <w:tc>
          <w:tcPr>
            <w:tcW w:w="10224" w:type="dxa"/>
            <w:tcBorders>
              <w:top w:val="single" w:sz="6" w:space="0" w:color="0176D3"/>
              <w:left w:val="single" w:sz="6" w:space="0" w:color="0176D3"/>
              <w:bottom w:val="single" w:sz="6" w:space="0" w:color="0176D3"/>
              <w:right w:val="single" w:sz="6" w:space="0" w:color="0176D3"/>
            </w:tcBorders>
            <w:shd w:val="clear" w:color="auto" w:fill="F2F5FA"/>
            <w:vAlign w:val="center"/>
          </w:tcPr>
          <w:p w14:paraId="5203201B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color w:val="0176D3"/>
                <w:sz w:val="24"/>
              </w:rPr>
              <w:t xml:space="preserve">🖼  </w:t>
            </w:r>
            <w:r>
              <w:rPr>
                <w:i/>
                <w:color w:val="5A6473"/>
              </w:rPr>
              <w:t>[ Screenshot placeholder — CTA Architecture Review report ]</w:t>
            </w:r>
          </w:p>
          <w:p w14:paraId="5CF39741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color w:val="C9D4E2"/>
                <w:sz w:val="16"/>
              </w:rPr>
              <w:t>Paste image here</w:t>
            </w:r>
          </w:p>
        </w:tc>
      </w:tr>
    </w:tbl>
    <w:p w14:paraId="4A313E84" w14:textId="77777777" w:rsidR="008B2A85" w:rsidRDefault="008B2A85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B2A85" w14:paraId="33A802B3" w14:textId="77777777">
        <w:trPr>
          <w:trHeight w:val="1840"/>
          <w:jc w:val="center"/>
        </w:trPr>
        <w:tc>
          <w:tcPr>
            <w:tcW w:w="10224" w:type="dxa"/>
            <w:tcBorders>
              <w:top w:val="single" w:sz="6" w:space="0" w:color="0176D3"/>
              <w:left w:val="single" w:sz="6" w:space="0" w:color="0176D3"/>
              <w:bottom w:val="single" w:sz="6" w:space="0" w:color="0176D3"/>
              <w:right w:val="single" w:sz="6" w:space="0" w:color="0176D3"/>
            </w:tcBorders>
            <w:shd w:val="clear" w:color="auto" w:fill="F2F5FA"/>
            <w:vAlign w:val="center"/>
          </w:tcPr>
          <w:p w14:paraId="5E38277E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color w:val="0176D3"/>
                <w:sz w:val="24"/>
              </w:rPr>
              <w:t xml:space="preserve">🖼  </w:t>
            </w:r>
            <w:r>
              <w:rPr>
                <w:i/>
                <w:color w:val="5A6473"/>
              </w:rPr>
              <w:t>[ Screenshot placeholder — Ask the Architect — live org Q&amp;A ]</w:t>
            </w:r>
          </w:p>
          <w:p w14:paraId="2B4FE8F0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i/>
                <w:color w:val="C9D4E2"/>
                <w:sz w:val="16"/>
              </w:rPr>
              <w:t>Paste image here</w:t>
            </w:r>
          </w:p>
        </w:tc>
      </w:tr>
    </w:tbl>
    <w:p w14:paraId="4F7C59C1" w14:textId="77777777" w:rsidR="008B2A85" w:rsidRDefault="008B2A85">
      <w:pPr>
        <w:spacing w:after="80"/>
        <w:rPr>
          <w:rFonts w:hint="eastAsia"/>
        </w:rPr>
      </w:pPr>
    </w:p>
    <w:p w14:paraId="708C1AF3" w14:textId="77777777" w:rsidR="008B2A85" w:rsidRDefault="00000000">
      <w:pPr>
        <w:rPr>
          <w:rFonts w:hint="eastAsia"/>
        </w:rPr>
      </w:pPr>
      <w:r>
        <w:br w:type="page"/>
      </w:r>
    </w:p>
    <w:p w14:paraId="49F2D450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color w:val="0176D3"/>
          <w:sz w:val="30"/>
        </w:rPr>
        <w:lastRenderedPageBreak/>
        <w:t xml:space="preserve">03  </w:t>
      </w:r>
      <w:r>
        <w:rPr>
          <w:b/>
          <w:sz w:val="30"/>
        </w:rPr>
        <w:t>Architecture &amp; How It Works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B2A85" w14:paraId="1A0E7BE7" w14:textId="77777777">
        <w:tc>
          <w:tcPr>
            <w:tcW w:w="10224" w:type="dxa"/>
            <w:tcBorders>
              <w:top w:val="single" w:sz="8" w:space="0" w:color="0176D3"/>
              <w:left w:val="single" w:sz="8" w:space="0" w:color="0176D3"/>
              <w:bottom w:val="single" w:sz="8" w:space="0" w:color="0176D3"/>
              <w:right w:val="single" w:sz="8" w:space="0" w:color="0176D3"/>
            </w:tcBorders>
            <w:shd w:val="clear" w:color="auto" w:fill="0176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7DA75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VS Code Extension Host  (TypeScript, esbuild bundle)</w:t>
            </w:r>
          </w:p>
          <w:p w14:paraId="2514625E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Analyzers → Rules Engine → Health Score → Webview Dashboard</w:t>
            </w:r>
          </w:p>
        </w:tc>
      </w:tr>
    </w:tbl>
    <w:p w14:paraId="38B418E5" w14:textId="77777777" w:rsidR="008B2A85" w:rsidRDefault="00000000">
      <w:pPr>
        <w:spacing w:before="20" w:after="20"/>
        <w:jc w:val="center"/>
        <w:rPr>
          <w:rFonts w:hint="eastAsia"/>
        </w:rPr>
      </w:pPr>
      <w:r>
        <w:rPr>
          <w:b/>
          <w:color w:val="0176D3"/>
          <w:sz w:val="22"/>
        </w:rPr>
        <w:t>▲  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B2A85" w14:paraId="57B997E0" w14:textId="77777777">
        <w:tc>
          <w:tcPr>
            <w:tcW w:w="10224" w:type="dxa"/>
            <w:tcBorders>
              <w:top w:val="single" w:sz="8" w:space="0" w:color="3B5BDB"/>
              <w:left w:val="single" w:sz="8" w:space="0" w:color="3B5BDB"/>
              <w:bottom w:val="single" w:sz="8" w:space="0" w:color="3B5BDB"/>
              <w:right w:val="single" w:sz="8" w:space="0" w:color="3B5BDB"/>
            </w:tcBorders>
            <w:shd w:val="clear" w:color="auto" w:fill="3B5BD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BEA12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AI Layer  ·  model-agnostic</w:t>
            </w:r>
          </w:p>
          <w:p w14:paraId="5FBFAF6B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VS Code Language Model API (Claude / GPT / Gemini)  ·  Local OpenAI-compatible endpoint (Ollama / LM Studio)  ·  read-only org tools</w:t>
            </w:r>
          </w:p>
        </w:tc>
      </w:tr>
    </w:tbl>
    <w:p w14:paraId="06045DD2" w14:textId="77777777" w:rsidR="008B2A85" w:rsidRDefault="00000000">
      <w:pPr>
        <w:spacing w:before="20" w:after="20"/>
        <w:jc w:val="center"/>
        <w:rPr>
          <w:rFonts w:hint="eastAsia"/>
        </w:rPr>
      </w:pPr>
      <w:r>
        <w:rPr>
          <w:b/>
          <w:color w:val="0176D3"/>
          <w:sz w:val="22"/>
        </w:rPr>
        <w:t>▲  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B2A85" w14:paraId="4D59428C" w14:textId="77777777">
        <w:tc>
          <w:tcPr>
            <w:tcW w:w="10224" w:type="dxa"/>
            <w:tcBorders>
              <w:top w:val="single" w:sz="8" w:space="0" w:color="0B1B33"/>
              <w:left w:val="single" w:sz="8" w:space="0" w:color="0B1B33"/>
              <w:bottom w:val="single" w:sz="8" w:space="0" w:color="0B1B33"/>
              <w:right w:val="single" w:sz="8" w:space="0" w:color="0B1B33"/>
            </w:tcBorders>
            <w:shd w:val="clear" w:color="auto" w:fill="0B1B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FF4E9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Salesforce Org  ·  via Salesforce CLI (sf)</w:t>
            </w:r>
          </w:p>
          <w:p w14:paraId="5DB3949D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Tooling &amp; Data API — metadata, EXPLAIN, limits  (read-only)</w:t>
            </w:r>
          </w:p>
        </w:tc>
      </w:tr>
    </w:tbl>
    <w:p w14:paraId="745AC3D5" w14:textId="77777777" w:rsidR="008B2A85" w:rsidRDefault="008B2A85">
      <w:pPr>
        <w:spacing w:after="120"/>
        <w:rPr>
          <w:rFonts w:hint="eastAsia"/>
        </w:rPr>
      </w:pPr>
    </w:p>
    <w:p w14:paraId="5917AD73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Analysis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 w:rsidR="008B2A85" w14:paraId="37A94F74" w14:textId="77777777"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C66045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1 Connect</w:t>
            </w:r>
          </w:p>
          <w:p w14:paraId="70C18F90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Authenticate via sf CLI</w:t>
            </w:r>
          </w:p>
        </w:tc>
        <w:tc>
          <w:tcPr>
            <w:tcW w:w="929" w:type="dxa"/>
            <w:vAlign w:val="center"/>
          </w:tcPr>
          <w:p w14:paraId="4CAD813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22"/>
              </w:rPr>
              <w:t>→</w:t>
            </w:r>
          </w:p>
        </w:tc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7432F90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2 Fetch</w:t>
            </w:r>
          </w:p>
          <w:p w14:paraId="27848892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Pull org metadata</w:t>
            </w:r>
          </w:p>
        </w:tc>
        <w:tc>
          <w:tcPr>
            <w:tcW w:w="929" w:type="dxa"/>
            <w:vAlign w:val="center"/>
          </w:tcPr>
          <w:p w14:paraId="22781A0A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22"/>
              </w:rPr>
              <w:t>→</w:t>
            </w:r>
          </w:p>
        </w:tc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48BB2AB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3 Analyse</w:t>
            </w:r>
          </w:p>
          <w:p w14:paraId="2E523D70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17 analyzers + rules</w:t>
            </w:r>
          </w:p>
        </w:tc>
        <w:tc>
          <w:tcPr>
            <w:tcW w:w="929" w:type="dxa"/>
            <w:vAlign w:val="center"/>
          </w:tcPr>
          <w:p w14:paraId="240BBA25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22"/>
              </w:rPr>
              <w:t>→</w:t>
            </w:r>
          </w:p>
        </w:tc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0F0E9B7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4 Score</w:t>
            </w:r>
          </w:p>
          <w:p w14:paraId="65430E3C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0–100, A–F, trend</w:t>
            </w:r>
          </w:p>
        </w:tc>
        <w:tc>
          <w:tcPr>
            <w:tcW w:w="929" w:type="dxa"/>
            <w:vAlign w:val="center"/>
          </w:tcPr>
          <w:p w14:paraId="5885FE45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22"/>
              </w:rPr>
              <w:t>→</w:t>
            </w:r>
          </w:p>
        </w:tc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7787B2E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5 Review</w:t>
            </w:r>
          </w:p>
          <w:p w14:paraId="541A4C95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Dashboard · CTA · Q&amp;A</w:t>
            </w:r>
          </w:p>
        </w:tc>
        <w:tc>
          <w:tcPr>
            <w:tcW w:w="929" w:type="dxa"/>
            <w:vAlign w:val="center"/>
          </w:tcPr>
          <w:p w14:paraId="0FF8C4CD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22"/>
              </w:rPr>
              <w:t>→</w:t>
            </w:r>
          </w:p>
        </w:tc>
        <w:tc>
          <w:tcPr>
            <w:tcW w:w="929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A2A9B0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176D3"/>
                <w:sz w:val="17"/>
              </w:rPr>
              <w:t>6 Export</w:t>
            </w:r>
          </w:p>
          <w:p w14:paraId="5C54AE23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5A6473"/>
                <w:sz w:val="14"/>
              </w:rPr>
              <w:t>HTML · SARIF · PDF</w:t>
            </w:r>
          </w:p>
        </w:tc>
      </w:tr>
    </w:tbl>
    <w:p w14:paraId="7559EDB4" w14:textId="77777777" w:rsidR="008B2A85" w:rsidRDefault="008B2A85">
      <w:pPr>
        <w:spacing w:after="120"/>
        <w:rPr>
          <w:rFonts w:hint="eastAsia"/>
        </w:rPr>
      </w:pPr>
    </w:p>
    <w:p w14:paraId="1601070F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Tech Stack &amp; Trust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B2A85" w14:paraId="78320C80" w14:textId="77777777">
        <w:tc>
          <w:tcPr>
            <w:tcW w:w="5112" w:type="dxa"/>
            <w:tcMar>
              <w:top w:w="60" w:type="dxa"/>
              <w:left w:w="100" w:type="dxa"/>
              <w:bottom w:w="60" w:type="dxa"/>
              <w:right w:w="160" w:type="dxa"/>
            </w:tcMar>
          </w:tcPr>
          <w:p w14:paraId="407876E2" w14:textId="77777777" w:rsidR="008B2A85" w:rsidRDefault="00000000">
            <w:pPr>
              <w:rPr>
                <w:rFonts w:hint="eastAsia"/>
              </w:rPr>
            </w:pPr>
            <w:r>
              <w:rPr>
                <w:b/>
              </w:rPr>
              <w:t>Technology</w:t>
            </w:r>
          </w:p>
          <w:p w14:paraId="68758AED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Language — </w:t>
            </w:r>
            <w:r>
              <w:rPr>
                <w:color w:val="5A6473"/>
                <w:sz w:val="18"/>
              </w:rPr>
              <w:t>TypeScript (strict), ES2022</w:t>
            </w:r>
          </w:p>
          <w:p w14:paraId="005F833D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Build — </w:t>
            </w:r>
            <w:r>
              <w:rPr>
                <w:color w:val="5A6473"/>
                <w:sz w:val="18"/>
              </w:rPr>
              <w:t>esbuild single bundle; zero runtime dependencies</w:t>
            </w:r>
          </w:p>
          <w:p w14:paraId="6B3A662B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Platform — </w:t>
            </w:r>
            <w:r>
              <w:rPr>
                <w:color w:val="5A6473"/>
                <w:sz w:val="18"/>
              </w:rPr>
              <w:t>VS Code Extension API + Webview dashboard</w:t>
            </w:r>
          </w:p>
          <w:p w14:paraId="3A6E6381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Org access — </w:t>
            </w:r>
            <w:r>
              <w:rPr>
                <w:color w:val="5A6473"/>
                <w:sz w:val="18"/>
              </w:rPr>
              <w:t>Salesforce CLI (sf) — Tooling &amp; Data API</w:t>
            </w:r>
          </w:p>
          <w:p w14:paraId="37EC1285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AI — </w:t>
            </w:r>
            <w:r>
              <w:rPr>
                <w:color w:val="5A6473"/>
                <w:sz w:val="18"/>
              </w:rPr>
              <w:t>VS Code LM API + local OpenAI-compatible endpoint</w:t>
            </w:r>
          </w:p>
          <w:p w14:paraId="768F5D2B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176D3"/>
                <w:sz w:val="18"/>
              </w:rPr>
              <w:t xml:space="preserve">• </w:t>
            </w:r>
            <w:r>
              <w:rPr>
                <w:b/>
                <w:sz w:val="18"/>
              </w:rPr>
              <w:t xml:space="preserve">CI-ready — </w:t>
            </w:r>
            <w:r>
              <w:rPr>
                <w:color w:val="5A6473"/>
                <w:sz w:val="18"/>
              </w:rPr>
              <w:t>SARIF 2.1.0 export for code scanning</w:t>
            </w:r>
          </w:p>
        </w:tc>
        <w:tc>
          <w:tcPr>
            <w:tcW w:w="5112" w:type="dxa"/>
            <w:tcBorders>
              <w:top w:val="single" w:sz="8" w:space="0" w:color="2E844A"/>
              <w:left w:val="single" w:sz="8" w:space="0" w:color="2E844A"/>
              <w:bottom w:val="single" w:sz="8" w:space="0" w:color="2E844A"/>
              <w:right w:val="single" w:sz="8" w:space="0" w:color="2E844A"/>
            </w:tcBorders>
            <w:shd w:val="clear" w:color="auto" w:fill="E7F3E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4F62730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2E844A"/>
              </w:rPr>
              <w:t>🔒 Trust Boundary</w:t>
            </w:r>
          </w:p>
          <w:p w14:paraId="224A6449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2E844A"/>
                <w:sz w:val="18"/>
              </w:rPr>
              <w:t xml:space="preserve">✔ </w:t>
            </w:r>
            <w:r>
              <w:rPr>
                <w:sz w:val="17"/>
              </w:rPr>
              <w:t>Metadata only — no records, no PII</w:t>
            </w:r>
          </w:p>
          <w:p w14:paraId="1AF60423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2E844A"/>
                <w:sz w:val="18"/>
              </w:rPr>
              <w:t xml:space="preserve">✔ </w:t>
            </w:r>
            <w:r>
              <w:rPr>
                <w:sz w:val="17"/>
              </w:rPr>
              <w:t>Local-first engine — offline capable</w:t>
            </w:r>
          </w:p>
          <w:p w14:paraId="6B096E5B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2E844A"/>
                <w:sz w:val="18"/>
              </w:rPr>
              <w:t xml:space="preserve">✔ </w:t>
            </w:r>
            <w:r>
              <w:rPr>
                <w:sz w:val="17"/>
              </w:rPr>
              <w:t>Nothing stored outside your machine</w:t>
            </w:r>
          </w:p>
          <w:p w14:paraId="63DB8960" w14:textId="77777777" w:rsidR="008B2A85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2E844A"/>
                <w:sz w:val="18"/>
              </w:rPr>
              <w:t xml:space="preserve">✔ </w:t>
            </w:r>
            <w:r>
              <w:rPr>
                <w:sz w:val="17"/>
              </w:rPr>
              <w:t>AI consent-gated; local model = 0 egress</w:t>
            </w:r>
          </w:p>
        </w:tc>
      </w:tr>
    </w:tbl>
    <w:p w14:paraId="33168888" w14:textId="77777777" w:rsidR="008B2A85" w:rsidRDefault="00000000">
      <w:pPr>
        <w:rPr>
          <w:rFonts w:hint="eastAsia"/>
        </w:rPr>
      </w:pPr>
      <w:r>
        <w:br w:type="page"/>
      </w:r>
    </w:p>
    <w:p w14:paraId="028090D1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color w:val="0176D3"/>
          <w:sz w:val="30"/>
        </w:rPr>
        <w:lastRenderedPageBreak/>
        <w:t xml:space="preserve">04  </w:t>
      </w:r>
      <w:r>
        <w:rPr>
          <w:b/>
          <w:sz w:val="30"/>
        </w:rPr>
        <w:t>Why OrgPulse — and Why Only OrgPulse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8B2A85" w14:paraId="46540BC7" w14:textId="77777777"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05960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In the IDE, not a portal</w:t>
            </w:r>
          </w:p>
          <w:p w14:paraId="54B17B3D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Analysis, AI, and fixes where developers already work — zero context switching.</w:t>
            </w:r>
          </w:p>
        </w:tc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1A8F4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Local-first &amp; metadata-only</w:t>
            </w:r>
          </w:p>
          <w:p w14:paraId="014B71A9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No record data or PII; runs offline. Enterprise- and Security-Review-friendly by default.</w:t>
            </w:r>
          </w:p>
        </w:tc>
      </w:tr>
      <w:tr w:rsidR="008B2A85" w14:paraId="45D3D395" w14:textId="77777777"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B1A7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Truly model-agnostic</w:t>
            </w:r>
          </w:p>
          <w:p w14:paraId="4930293C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Any VS Code model or a fully local LLM — the only Salesforce health tool with no AI vendor lock-in.</w:t>
            </w:r>
          </w:p>
        </w:tc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ACD45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CTA-grade, on demand</w:t>
            </w:r>
          </w:p>
          <w:p w14:paraId="4E91AE2D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Repeatable architecture reviews in minutes — not a periodic, costly human engagement.</w:t>
            </w:r>
          </w:p>
        </w:tc>
      </w:tr>
      <w:tr w:rsidR="008B2A85" w14:paraId="3F3FE8B5" w14:textId="77777777"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8CFCC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Live, tool-augmented Q&amp;A</w:t>
            </w:r>
          </w:p>
          <w:p w14:paraId="51F8A8B0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“Ask the Architect” queries the real org (read-only) — answers grounded in data, not guesses.</w:t>
            </w:r>
          </w:p>
        </w:tc>
        <w:tc>
          <w:tcPr>
            <w:tcW w:w="5112" w:type="dxa"/>
            <w:tcBorders>
              <w:top w:val="single" w:sz="4" w:space="0" w:color="0176D3"/>
              <w:left w:val="single" w:sz="4" w:space="0" w:color="0176D3"/>
              <w:bottom w:val="single" w:sz="4" w:space="0" w:color="0176D3"/>
              <w:right w:val="single" w:sz="4" w:space="0" w:color="0176D3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C5123" w14:textId="77777777" w:rsidR="008B2A85" w:rsidRDefault="00000000">
            <w:pPr>
              <w:rPr>
                <w:rFonts w:hint="eastAsia"/>
              </w:rPr>
            </w:pPr>
            <w:r>
              <w:rPr>
                <w:b/>
                <w:color w:val="0176D3"/>
                <w:sz w:val="19"/>
              </w:rPr>
              <w:t>✦ CI/CD native</w:t>
            </w:r>
          </w:p>
          <w:p w14:paraId="15718675" w14:textId="77777777" w:rsidR="008B2A85" w:rsidRDefault="00000000">
            <w:pPr>
              <w:spacing w:after="0"/>
              <w:rPr>
                <w:rFonts w:hint="eastAsia"/>
              </w:rPr>
            </w:pPr>
            <w:r>
              <w:rPr>
                <w:color w:val="5A6473"/>
                <w:sz w:val="17"/>
              </w:rPr>
              <w:t>SARIF export plugs straight into GitHub code scanning and PR checks.</w:t>
            </w:r>
          </w:p>
        </w:tc>
      </w:tr>
    </w:tbl>
    <w:p w14:paraId="11CF360F" w14:textId="77777777" w:rsidR="008B2A85" w:rsidRDefault="008B2A85">
      <w:pPr>
        <w:spacing w:after="120"/>
        <w:rPr>
          <w:rFonts w:hint="eastAsia"/>
        </w:rPr>
      </w:pPr>
    </w:p>
    <w:p w14:paraId="555989CE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Business Value &amp; ROI</w:t>
      </w:r>
    </w:p>
    <w:p w14:paraId="6708920E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Continuous, not point-in-time — </w:t>
      </w:r>
      <w:r>
        <w:rPr>
          <w:color w:val="5A6473"/>
        </w:rPr>
        <w:t>every run is a fresh scorecard with trend, so risk is caught between formal reviews.</w:t>
      </w:r>
    </w:p>
    <w:p w14:paraId="4ED80458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Minutes vs weeks — </w:t>
      </w:r>
      <w:r>
        <w:rPr>
          <w:color w:val="5A6473"/>
        </w:rPr>
        <w:t>a CTA-grade assessment on demand instead of a multi-week expert engagement (replace with [your benchmark]).</w:t>
      </w:r>
    </w:p>
    <w:p w14:paraId="502B74F7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Shift-left risk — </w:t>
      </w:r>
      <w:r>
        <w:rPr>
          <w:color w:val="5A6473"/>
        </w:rPr>
        <w:t>security, performance, and governor issues found pre-deploy — [your % defects caught earlier].</w:t>
      </w:r>
    </w:p>
    <w:p w14:paraId="2E330F22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Standardised delivery — </w:t>
      </w:r>
      <w:r>
        <w:rPr>
          <w:color w:val="5A6473"/>
        </w:rPr>
        <w:t>partners &amp; MSPs apply one consistent health bar across every org — [your orgs/month].</w:t>
      </w:r>
    </w:p>
    <w:p w14:paraId="77D8584D" w14:textId="77777777" w:rsidR="008B2A85" w:rsidRDefault="008B2A85">
      <w:pPr>
        <w:spacing w:after="80"/>
        <w:rPr>
          <w:rFonts w:hint="eastAsia"/>
        </w:rPr>
      </w:pPr>
    </w:p>
    <w:p w14:paraId="41C070B8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Get Started in Minutes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B2A85" w14:paraId="320D61C0" w14:textId="77777777">
        <w:tc>
          <w:tcPr>
            <w:tcW w:w="2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B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1082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1. Install</w:t>
            </w:r>
          </w:p>
          <w:p w14:paraId="38929AAF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BFD7F2"/>
                <w:sz w:val="15"/>
              </w:rPr>
              <w:t>Add the OrgPulse VSIX (or Marketplace) to VS Code 1.100+.</w:t>
            </w:r>
          </w:p>
        </w:tc>
        <w:tc>
          <w:tcPr>
            <w:tcW w:w="2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B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4EF3B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2. Authenticate</w:t>
            </w:r>
          </w:p>
          <w:p w14:paraId="4E9AAB76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BFD7F2"/>
                <w:sz w:val="15"/>
              </w:rPr>
              <w:t>Connect an org: sf org login web.</w:t>
            </w:r>
          </w:p>
        </w:tc>
        <w:tc>
          <w:tcPr>
            <w:tcW w:w="2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B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09F77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3. Analyse</w:t>
            </w:r>
          </w:p>
          <w:p w14:paraId="78E26AA6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BFD7F2"/>
                <w:sz w:val="15"/>
              </w:rPr>
              <w:t>Run “OrgPulse: Run Org Health Analysis”.</w:t>
            </w:r>
          </w:p>
        </w:tc>
        <w:tc>
          <w:tcPr>
            <w:tcW w:w="2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B3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25B04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4. Act &amp; Share</w:t>
            </w:r>
          </w:p>
          <w:p w14:paraId="3E0A73E8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BFD7F2"/>
                <w:sz w:val="15"/>
              </w:rPr>
              <w:t>Review the dashboard, ask the architect, export HTML/SARIF/PDF.</w:t>
            </w:r>
          </w:p>
        </w:tc>
      </w:tr>
    </w:tbl>
    <w:p w14:paraId="466BCDC1" w14:textId="77777777" w:rsidR="008B2A85" w:rsidRDefault="008B2A85">
      <w:pPr>
        <w:spacing w:after="120"/>
        <w:rPr>
          <w:rFonts w:hint="eastAsia"/>
        </w:rPr>
      </w:pPr>
    </w:p>
    <w:p w14:paraId="30C13823" w14:textId="77777777" w:rsidR="008B2A85" w:rsidRDefault="00000000">
      <w:pPr>
        <w:pBdr>
          <w:bottom w:val="single" w:sz="12" w:space="2" w:color="0176D3"/>
        </w:pBdr>
        <w:spacing w:before="160" w:after="80"/>
        <w:rPr>
          <w:rFonts w:hint="eastAsia"/>
        </w:rPr>
      </w:pPr>
      <w:r>
        <w:rPr>
          <w:b/>
          <w:sz w:val="30"/>
        </w:rPr>
        <w:t>Roadmap (Indicative)</w:t>
      </w:r>
    </w:p>
    <w:p w14:paraId="7F935414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Near-term — </w:t>
      </w:r>
      <w:r>
        <w:rPr>
          <w:color w:val="5A6473"/>
        </w:rPr>
        <w:t>scheduled scans &amp; CI gate action; richer trend history &amp; diffing.</w:t>
      </w:r>
    </w:p>
    <w:p w14:paraId="520D7A67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Mid-term — </w:t>
      </w:r>
      <w:r>
        <w:rPr>
          <w:color w:val="5A6473"/>
        </w:rPr>
        <w:t>team dashboards / multi-org portfolio view; custom rule marketplace.</w:t>
      </w:r>
    </w:p>
    <w:p w14:paraId="6A1D93E9" w14:textId="77777777" w:rsidR="008B2A85" w:rsidRDefault="00000000">
      <w:pPr>
        <w:spacing w:after="40"/>
        <w:ind w:left="200"/>
        <w:rPr>
          <w:rFonts w:hint="eastAsia"/>
        </w:rPr>
      </w:pPr>
      <w:r>
        <w:rPr>
          <w:b/>
          <w:color w:val="0176D3"/>
        </w:rPr>
        <w:t xml:space="preserve">▸  </w:t>
      </w:r>
      <w:r>
        <w:rPr>
          <w:b/>
        </w:rPr>
        <w:t xml:space="preserve">Exploration — </w:t>
      </w:r>
      <w:r>
        <w:rPr>
          <w:color w:val="5A6473"/>
        </w:rPr>
        <w:t>auto-fix PRs, deeper LWC analysis, and partner reporting templates.</w:t>
      </w:r>
    </w:p>
    <w:p w14:paraId="0BC05153" w14:textId="77777777" w:rsidR="008B2A85" w:rsidRDefault="008B2A85">
      <w:pPr>
        <w:spacing w:after="12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B2A85" w14:paraId="5BA52B6B" w14:textId="77777777">
        <w:tc>
          <w:tcPr>
            <w:tcW w:w="10224" w:type="dxa"/>
            <w:shd w:val="clear" w:color="auto" w:fill="0176D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CA468" w14:textId="77777777" w:rsidR="008B2A8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Bring continuous architecture intelligence to every Salesforce org.</w:t>
            </w:r>
          </w:p>
          <w:p w14:paraId="563C2004" w14:textId="77777777" w:rsidR="008B2A85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color w:val="DCEBFB"/>
                <w:sz w:val="18"/>
              </w:rPr>
              <w:t>OrgPulse  ·  [contact email]  ·  [website]  ·  v1.11.0</w:t>
            </w:r>
          </w:p>
        </w:tc>
      </w:tr>
    </w:tbl>
    <w:p w14:paraId="6A7F8C46" w14:textId="77777777" w:rsidR="00414F46" w:rsidRDefault="00414F46"/>
    <w:sectPr w:rsidR="00414F46" w:rsidSect="00034616"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1C30E1" w14:textId="77777777" w:rsidR="00414F46" w:rsidRDefault="00414F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39FE0F" w14:textId="77777777" w:rsidR="00414F46" w:rsidRDefault="00414F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7465A" w14:textId="77777777" w:rsidR="008B2A85" w:rsidRDefault="00000000">
    <w:pPr>
      <w:pStyle w:val="Footer"/>
      <w:jc w:val="center"/>
      <w:rPr>
        <w:rFonts w:hint="eastAsia"/>
      </w:rPr>
    </w:pPr>
    <w:proofErr w:type="spellStart"/>
    <w:r>
      <w:rPr>
        <w:color w:val="5A6473"/>
        <w:sz w:val="16"/>
      </w:rPr>
      <w:t>OrgPulse</w:t>
    </w:r>
    <w:proofErr w:type="spellEnd"/>
    <w:r>
      <w:rPr>
        <w:color w:val="5A6473"/>
        <w:sz w:val="16"/>
      </w:rPr>
      <w:t xml:space="preserve"> — Confidential Product Overview    · 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color w:val="5A6473"/>
        <w:sz w:val="16"/>
      </w:rPr>
      <w:t>1</w:t>
    </w:r>
    <w:r>
      <w:rPr>
        <w:color w:val="5A64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B6DC69" w14:textId="77777777" w:rsidR="00414F46" w:rsidRDefault="00414F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526AFA" w14:textId="77777777" w:rsidR="00414F46" w:rsidRDefault="00414F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93353">
    <w:abstractNumId w:val="8"/>
  </w:num>
  <w:num w:numId="2" w16cid:durableId="240607903">
    <w:abstractNumId w:val="6"/>
  </w:num>
  <w:num w:numId="3" w16cid:durableId="54933000">
    <w:abstractNumId w:val="5"/>
  </w:num>
  <w:num w:numId="4" w16cid:durableId="1363556215">
    <w:abstractNumId w:val="4"/>
  </w:num>
  <w:num w:numId="5" w16cid:durableId="841623391">
    <w:abstractNumId w:val="7"/>
  </w:num>
  <w:num w:numId="6" w16cid:durableId="1094788696">
    <w:abstractNumId w:val="3"/>
  </w:num>
  <w:num w:numId="7" w16cid:durableId="732047361">
    <w:abstractNumId w:val="2"/>
  </w:num>
  <w:num w:numId="8" w16cid:durableId="147988480">
    <w:abstractNumId w:val="1"/>
  </w:num>
  <w:num w:numId="9" w16cid:durableId="1127700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39"/>
    <w:rsid w:val="0015074B"/>
    <w:rsid w:val="002502C5"/>
    <w:rsid w:val="0029639D"/>
    <w:rsid w:val="00326F90"/>
    <w:rsid w:val="00414F46"/>
    <w:rsid w:val="005D3AB0"/>
    <w:rsid w:val="008B2A85"/>
    <w:rsid w:val="00AA1D8D"/>
    <w:rsid w:val="00B47730"/>
    <w:rsid w:val="00CB0664"/>
    <w:rsid w:val="00E7133F"/>
    <w:rsid w:val="00F90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F69A7"/>
  <w14:defaultImageDpi w14:val="300"/>
  <w15:docId w15:val="{3F5FBD9A-F79E-904E-8C3A-C137C63D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A1A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1120</Words>
  <Characters>6233</Characters>
  <Application>Microsoft Office Word</Application>
  <DocSecurity>0</DocSecurity>
  <Lines>214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Babu Kareti</cp:lastModifiedBy>
  <cp:revision>4</cp:revision>
  <dcterms:created xsi:type="dcterms:W3CDTF">2013-12-23T23:15:00Z</dcterms:created>
  <dcterms:modified xsi:type="dcterms:W3CDTF">2026-06-19T12:24:00Z</dcterms:modified>
  <cp:category/>
</cp:coreProperties>
</file>