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 Short/Mid-Term Breakout Stock Scoring &amp; Ranking System</w:t>
      </w:r>
    </w:p>
    <w:p>
      <w:pPr>
        <w:pStyle w:val="Subtitle"/>
      </w:pPr>
      <w:r>
        <w:t xml:space="preserve">Business Requirements Document (BRD) — Layer 0 +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28251D"/>
                <w:sz w:val="20"/>
                <w:szCs w:val="20"/>
              </w:rPr>
              <w:t xml:space="preserve">Document Version</w:t>
            </w:r>
          </w:p>
        </w:tc>
        <w:tc>
          <w:tcPr>
            <w:tcW w:type="dxa" w:w="65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v2.0 (Business-facing rewrite)</w:t>
            </w:r>
          </w:p>
        </w:tc>
      </w:tr>
      <w:tr>
        <w:tc>
          <w:tcPr>
            <w:tcW w:type="dxa" w:w="28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28251D"/>
                <w:sz w:val="20"/>
                <w:szCs w:val="20"/>
              </w:rPr>
              <w:t xml:space="preserve">Date</w:t>
            </w:r>
          </w:p>
        </w:tc>
        <w:tc>
          <w:tcPr>
            <w:tcW w:type="dxa" w:w="65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September 10, 2026</w:t>
            </w:r>
          </w:p>
        </w:tc>
      </w:tr>
      <w:tr>
        <w:tc>
          <w:tcPr>
            <w:tcW w:type="dxa" w:w="28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28251D"/>
                <w:sz w:val="20"/>
                <w:szCs w:val="20"/>
              </w:rPr>
              <w:t xml:space="preserve">Scope</w:t>
            </w:r>
          </w:p>
        </w:tc>
        <w:tc>
          <w:tcPr>
            <w:tcW w:type="dxa" w:w="65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Layer 0 (Candidate Universe Pre-Filter) + Layer 1 (Trend Template Hard Filter)</w:t>
            </w:r>
          </w:p>
        </w:tc>
      </w:tr>
      <w:tr>
        <w:tc>
          <w:tcPr>
            <w:tcW w:type="dxa" w:w="28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28251D"/>
                <w:sz w:val="20"/>
                <w:szCs w:val="20"/>
              </w:rPr>
              <w:t xml:space="preserve">Document Owner</w:t>
            </w:r>
          </w:p>
        </w:tc>
        <w:tc>
          <w:tcPr>
            <w:tcW w:type="dxa" w:w="65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Bryan Ho</w:t>
            </w:r>
          </w:p>
        </w:tc>
      </w:tr>
    </w:tbl>
    <w:p>
      <w:pPr>
        <w:spacing w:after="160"/>
      </w:pPr>
      <w:r>
        <w:t xml:space="preserve"/>
      </w:r>
    </w:p>
    <w:p>
      <w:pPr>
        <w:spacing w:after="160"/>
      </w:pPr>
      <w:r>
        <w:rPr>
          <w:b/>
          <w:bCs/>
        </w:rPr>
        <w:t xml:space="preserve">Document Purpose: </w:t>
      </w:r>
      <w:r>
        <w:t xml:space="preserve">This document describes only what the system does, why it does it, and what business value it provides. It does not cover source code, SQL, database structure, or other technical implementation details. Implementation details are covered in a separate Technical Specification document.</w:t>
      </w:r>
    </w:p>
    <w:p>
      <w:pPr>
        <w:pStyle w:val="Heading1"/>
      </w:pPr>
      <w:r>
        <w:t xml:space="preserve">1. Business Background &amp; Objective</w:t>
      </w:r>
    </w:p>
    <w:p>
      <w:pPr>
        <w:spacing w:after="160"/>
      </w:pPr>
      <w:r>
        <w:t xml:space="preserve">The purpose of this system is to automatically screen out stocks with unhealthy technical structure from the full US equity market (roughly 6,000–8,000 tradable stocks), leaving a smaller set of candidates that are in a genuinely strong, sustained uptrend. This shortlist serves as the first-stage input into the user’s (Bryan’s) short-to-mid-term (3–10 trading day) buy/sell decision process.</w:t>
      </w:r>
    </w:p>
    <w:p>
      <w:pPr>
        <w:spacing w:after="160"/>
      </w:pPr>
      <w:r>
        <w:t xml:space="preserve">This step is the first gate in the overall five-layer scoring and ranking system — it answers the question of "which stocks to eliminate first." It does not address ranking order or trade timing, both of which belong to later layers (Layer 2–5) that are outside the scope of this document.</w:t>
      </w:r>
    </w:p>
    <w:p>
      <w:pPr>
        <w:spacing w:after="160"/>
      </w:pPr>
      <w:r>
        <w:rPr>
          <w:b/>
          <w:bCs/>
        </w:rPr>
        <w:t xml:space="preserve">Core requirement: </w:t>
      </w:r>
      <w:r>
        <w:t xml:space="preserve">rather than relying on a fixed screening template from an off-the-shelf tool (e.g. TradingView), the user wants a tool they fully control and can modify at any time, with data sourced directly from Perplexity’s US equity data feed.</w:t>
      </w:r>
    </w:p>
    <w:p>
      <w:pPr>
        <w:pStyle w:val="Heading1"/>
      </w:pPr>
      <w:r>
        <w:t xml:space="preserve">2. Users &amp; Use Cases</w:t>
      </w:r>
    </w:p>
    <w:p>
      <w:pPr>
        <w:spacing w:after="160"/>
      </w:pPr>
      <w:r>
        <w:rPr>
          <w:b/>
          <w:bCs/>
        </w:rPr>
        <w:t xml:space="preserve">User: </w:t>
      </w:r>
      <w:r>
        <w:t xml:space="preserve">Bryan (single user, has a working knowledge of US equities, not an institutional/professional investor)</w:t>
      </w:r>
    </w:p>
    <w:p>
      <w:pPr>
        <w:spacing w:after="160"/>
      </w:pPr>
      <w:r>
        <w:rPr>
          <w:b/>
          <w:bCs/>
        </w:rPr>
        <w:t xml:space="preserve">Use case walkthrough:</w:t>
      </w:r>
    </w:p>
    <w:p>
      <w:pPr>
        <w:pStyle w:val="ListParagraph"/>
        <w:numPr>
          <w:ilvl w:val="0"/>
          <w:numId w:val="2"/>
        </w:numPr>
        <w:spacing w:after="80"/>
      </w:pPr>
      <w:r>
        <w:t xml:space="preserve">Bryan opens the system and sets the Layer 0 candidate universe scope (e.g. only consider actively-traded stocks on the three major exchanges with a market cap above $2 billion).</w:t>
      </w:r>
    </w:p>
    <w:p>
      <w:pPr>
        <w:pStyle w:val="ListParagraph"/>
        <w:numPr>
          <w:ilvl w:val="0"/>
          <w:numId w:val="2"/>
        </w:numPr>
        <w:spacing w:after="80"/>
      </w:pPr>
      <w:r>
        <w:t xml:space="preserve">The system automatically computes eight technical trend indicators for every candidate stock and reports which stocks satisfy all eight — i.e. which stocks qualify to move on to the next layer.</w:t>
      </w:r>
    </w:p>
    <w:p>
      <w:pPr>
        <w:pStyle w:val="ListParagraph"/>
        <w:numPr>
          <w:ilvl w:val="0"/>
          <w:numId w:val="2"/>
        </w:numPr>
        <w:spacing w:after="80"/>
      </w:pPr>
      <w:r>
        <w:t xml:space="preserve">Bryan can adjust the candidate universe scope at any time, or adjust the strictness of one or more of the eight indicators (including turning any single indicator off entirely), and re-screen immediately to see how the results change.</w:t>
      </w:r>
    </w:p>
    <w:p>
      <w:pPr>
        <w:pStyle w:val="ListParagraph"/>
        <w:numPr>
          <w:ilvl w:val="0"/>
          <w:numId w:val="2"/>
        </w:numPr>
        <w:spacing w:after="80"/>
      </w:pPr>
      <w:r>
        <w:t xml:space="preserve">Results are displayed as a list: ticker, company name, market cap, current price, relative strength score, and how many of the 8 conditions were passed — making it easy to see at a glance which stocks are strongest.</w:t>
      </w:r>
    </w:p>
    <w:p>
      <w:pPr>
        <w:pStyle w:val="ListParagraph"/>
        <w:numPr>
          <w:ilvl w:val="0"/>
          <w:numId w:val="2"/>
        </w:numPr>
        <w:spacing w:after="80"/>
      </w:pPr>
      <w:r>
        <w:t xml:space="preserve">Bryan can expand any stock to see exactly which of the 8 indicators passed or failed, to understand why a stock qualified or was excluded.</w:t>
      </w:r>
    </w:p>
    <w:p>
      <w:pPr>
        <w:pStyle w:val="Heading1"/>
      </w:pPr>
      <w:r>
        <w:t xml:space="preserve">3. Business Scope</w:t>
      </w:r>
    </w:p>
    <w:p>
      <w:pPr>
        <w:pStyle w:val="Heading2"/>
      </w:pPr>
      <w:r>
        <w:t xml:space="preserve">3.1 Layer 0 — Candidate Universe Pre-Filter</w:t>
      </w:r>
    </w:p>
    <w:p>
      <w:pPr>
        <w:spacing w:after="160"/>
      </w:pPr>
      <w:r>
        <w:rPr>
          <w:b/>
          <w:bCs/>
        </w:rPr>
        <w:t xml:space="preserve">Business purpose: </w:t>
      </w:r>
      <w:r>
        <w:t xml:space="preserve">With 6,000–8,000 stocks in the full market, computing historical technical indicators for every single one is too costly. Layer 0’s role is to use basic criteria — market cap, exchange, security type, etc. — to quickly narrow the candidate pool first, so computing resources are focused only on stocks that are actually worth considering.</w:t>
      </w:r>
    </w:p>
    <w:p>
      <w:pPr>
        <w:spacing w:after="160"/>
      </w:pPr>
      <w:r>
        <w:rPr>
          <w:b/>
          <w:bCs/>
        </w:rPr>
        <w:t xml:space="preserve">Business rules:</w:t>
      </w:r>
    </w:p>
    <w:p>
      <w:pPr>
        <w:pStyle w:val="ListParagraph"/>
        <w:numPr>
          <w:ilvl w:val="0"/>
          <w:numId w:val="3"/>
        </w:numPr>
        <w:spacing w:after="80"/>
      </w:pPr>
      <w:r>
        <w:t xml:space="preserve">Filter criteria are fully user-defined rather than a fixed set of sliders or dropdown menus — this was an explicit design requirement from the user: "fully customizable."</w:t>
      </w:r>
    </w:p>
    <w:p>
      <w:pPr>
        <w:pStyle w:val="ListParagraph"/>
        <w:numPr>
          <w:ilvl w:val="0"/>
          <w:numId w:val="3"/>
        </w:numPr>
        <w:spacing w:after="80"/>
      </w:pPr>
      <w:r>
        <w:t xml:space="preserve">The system ships with a sensible starting filter (US-listed, on the three major exchanges, excluding ETFs/funds, market cap above $2 billion, actively trading) which the user can modify at any time.</w:t>
      </w:r>
    </w:p>
    <w:p>
      <w:pPr>
        <w:pStyle w:val="ListParagraph"/>
        <w:numPr>
          <w:ilvl w:val="0"/>
          <w:numId w:val="3"/>
        </w:numPr>
        <w:spacing w:after="80"/>
      </w:pPr>
      <w:r>
        <w:t xml:space="preserve">Frequently-used filter criteria can be saved as a "preset" for quick reuse, so the user doesn’t need to re-enter them every time.</w:t>
      </w:r>
    </w:p>
    <w:p>
      <w:pPr>
        <w:pStyle w:val="Heading2"/>
      </w:pPr>
      <w:r>
        <w:t xml:space="preserve">3.2 Layer 1 — Trend Template Hard Filter (8 Conditions)</w:t>
      </w:r>
    </w:p>
    <w:p>
      <w:pPr>
        <w:spacing w:after="160"/>
      </w:pPr>
      <w:r>
        <w:rPr>
          <w:b/>
          <w:bCs/>
        </w:rPr>
        <w:t xml:space="preserve">Business purpose: </w:t>
      </w:r>
      <w:r>
        <w:t xml:space="preserve">These eight conditions originate from Mark Minervini’s "Trend Template" investment methodology. Their purpose is to confirm that a stock is in a healthy, sustained uptrend — rather than in decline, moving sideways, or in an early, unconfirmed bounce.</w:t>
      </w:r>
    </w:p>
    <w:p>
      <w:pPr>
        <w:spacing w:after="160"/>
      </w:pPr>
      <w:r>
        <w:rPr>
          <w:b/>
          <w:bCs/>
        </w:rPr>
        <w:t xml:space="preserve">Business rules:</w:t>
      </w:r>
    </w:p>
    <w:p>
      <w:pPr>
        <w:pStyle w:val="ListParagraph"/>
        <w:numPr>
          <w:ilvl w:val="0"/>
          <w:numId w:val="3"/>
        </w:numPr>
        <w:spacing w:after="80"/>
      </w:pPr>
      <w:r>
        <w:t xml:space="preserve">A stock is considered fully "trend-healthy" only when it passes all eight conditions.</w:t>
      </w:r>
    </w:p>
    <w:p>
      <w:pPr>
        <w:pStyle w:val="ListParagraph"/>
        <w:numPr>
          <w:ilvl w:val="0"/>
          <w:numId w:val="3"/>
        </w:numPr>
        <w:spacing w:after="80"/>
      </w:pPr>
      <w:r>
        <w:t xml:space="preserve">The user can independently switch any single condition on or off — for example, temporarily ignoring "the 200-day moving average is trending upward" and looking only at the remaining 7. This flexibility was an explicit user requirement: "each of the 8 conditions can be toggled independently."</w:t>
      </w:r>
    </w:p>
    <w:p>
      <w:pPr>
        <w:pStyle w:val="ListParagraph"/>
        <w:numPr>
          <w:ilvl w:val="0"/>
          <w:numId w:val="3"/>
        </w:numPr>
        <w:spacing w:after="80"/>
      </w:pPr>
      <w:r>
        <w:t xml:space="preserve">Four of the eight conditions carry an adjustable numeric threshold, and the user can tune the strictness of these values directly, without needing a developer to make code changes — for example, "how far above the 52-week low must the price be," or "how high must the relative strength score be to qualify."</w:t>
      </w:r>
    </w:p>
    <w:p>
      <w:pPr>
        <w:pStyle w:val="ListParagraph"/>
        <w:numPr>
          <w:ilvl w:val="0"/>
          <w:numId w:val="3"/>
        </w:numPr>
        <w:spacing w:after="80"/>
      </w:pPr>
      <w:r>
        <w:t xml:space="preserve">Each stock displays "X of 8 passed," so even stocks that don’t pass every condition remain visible for reference.</w:t>
      </w:r>
    </w:p>
    <w:p>
      <w:pPr>
        <w:spacing w:after="160"/>
      </w:pPr>
      <w:r>
        <w:t xml:space="preserve"/>
      </w:r>
    </w:p>
    <w:p>
      <w:pPr>
        <w:spacing w:after="160"/>
      </w:pPr>
      <w:r>
        <w:t xml:space="preserve">The table below explains the business meaning of each of the 8 conditions in plain language (formulas are covered in the Technical Specification document,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2500"/>
      </w:tblGrid>
      <w:tr>
        <w:trPr>
          <w:tblHeader/>
        </w:trPr>
        <w:tc>
          <w:tcPr>
            <w:tcW w:type="dxa" w:w="500"/>
            <w:tcBorders>
              <w:top w:val="single" w:color="D4D1CA" w:sz="4"/>
              <w:left w:val="single" w:color="D4D1CA" w:sz="4"/>
              <w:bottom w:val="single" w:color="D4D1CA" w:sz="4"/>
              <w:right w:val="single" w:color="D4D1CA" w:sz="4"/>
            </w:tcBorders>
            <w:shd w:fill="01696F" w:val="clear"/>
            <w:tcMar>
              <w:top w:type="dxa" w:w="90"/>
              <w:left w:type="dxa" w:w="120"/>
              <w:bottom w:type="dxa" w:w="90"/>
              <w:right w:type="dxa" w:w="120"/>
            </w:tcMar>
            <w:vAlign w:val="center"/>
          </w:tcPr>
          <w:p>
            <w:r>
              <w:rPr>
                <w:b/>
                <w:bCs/>
                <w:color w:val="FFFFFF"/>
                <w:sz w:val="20"/>
                <w:szCs w:val="20"/>
              </w:rPr>
              <w:t xml:space="preserve">#</w:t>
            </w:r>
          </w:p>
        </w:tc>
        <w:tc>
          <w:tcPr>
            <w:tcW w:type="dxa" w:w="6360"/>
            <w:tcBorders>
              <w:top w:val="single" w:color="D4D1CA" w:sz="4"/>
              <w:left w:val="single" w:color="D4D1CA" w:sz="4"/>
              <w:bottom w:val="single" w:color="D4D1CA" w:sz="4"/>
              <w:right w:val="single" w:color="D4D1CA" w:sz="4"/>
            </w:tcBorders>
            <w:shd w:fill="01696F" w:val="clear"/>
            <w:tcMar>
              <w:top w:type="dxa" w:w="90"/>
              <w:left w:type="dxa" w:w="120"/>
              <w:bottom w:type="dxa" w:w="90"/>
              <w:right w:type="dxa" w:w="120"/>
            </w:tcMar>
            <w:vAlign w:val="center"/>
          </w:tcPr>
          <w:p>
            <w:r>
              <w:rPr>
                <w:b/>
                <w:bCs/>
                <w:color w:val="FFFFFF"/>
                <w:sz w:val="20"/>
                <w:szCs w:val="20"/>
              </w:rPr>
              <w:t xml:space="preserve">Business Meaning</w:t>
            </w:r>
          </w:p>
        </w:tc>
        <w:tc>
          <w:tcPr>
            <w:tcW w:type="dxa" w:w="2500"/>
            <w:tcBorders>
              <w:top w:val="single" w:color="D4D1CA" w:sz="4"/>
              <w:left w:val="single" w:color="D4D1CA" w:sz="4"/>
              <w:bottom w:val="single" w:color="D4D1CA" w:sz="4"/>
              <w:right w:val="single" w:color="D4D1CA" w:sz="4"/>
            </w:tcBorders>
            <w:shd w:fill="01696F" w:val="clear"/>
            <w:tcMar>
              <w:top w:type="dxa" w:w="90"/>
              <w:left w:type="dxa" w:w="120"/>
              <w:bottom w:type="dxa" w:w="90"/>
              <w:right w:type="dxa" w:w="120"/>
            </w:tcMar>
            <w:vAlign w:val="center"/>
          </w:tcPr>
          <w:p>
            <w:r>
              <w:rPr>
                <w:b/>
                <w:bCs/>
                <w:color w:val="FFFFFF"/>
                <w:sz w:val="20"/>
                <w:szCs w:val="20"/>
              </w:rPr>
              <w:t xml:space="preserve">User-Adjustable Parameter</w:t>
            </w:r>
          </w:p>
        </w:tc>
      </w:tr>
      <w:tr>
        <w:tc>
          <w:tcPr>
            <w:tcW w:type="dxa" w:w="5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01696F"/>
                <w:sz w:val="20"/>
                <w:szCs w:val="20"/>
              </w:rPr>
              <w:t xml:space="preserve">1</w:t>
            </w:r>
          </w:p>
        </w:tc>
        <w:tc>
          <w:tcPr>
            <w:tcW w:type="dxa" w:w="63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Current price is above both the medium-term (150-day) and long-term (200-day) average price — confirms the price hasn’t broken below the medium/long-term trendline</w:t>
            </w:r>
          </w:p>
        </w:tc>
        <w:tc>
          <w:tcPr>
            <w:tcW w:type="dxa" w:w="25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None</w:t>
            </w:r>
          </w:p>
        </w:tc>
      </w:tr>
      <w:tr>
        <w:tc>
          <w:tcPr>
            <w:tcW w:type="dxa" w:w="5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01696F"/>
                <w:sz w:val="20"/>
                <w:szCs w:val="20"/>
              </w:rPr>
              <w:t xml:space="preserve">2</w:t>
            </w:r>
          </w:p>
        </w:tc>
        <w:tc>
          <w:tcPr>
            <w:tcW w:type="dxa" w:w="636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The medium-term average price is above the long-term average price — confirms the medium-term trend is stronger than the long-term trend</w:t>
            </w:r>
          </w:p>
        </w:tc>
        <w:tc>
          <w:tcPr>
            <w:tcW w:type="dxa" w:w="25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None</w:t>
            </w:r>
          </w:p>
        </w:tc>
      </w:tr>
      <w:tr>
        <w:tc>
          <w:tcPr>
            <w:tcW w:type="dxa" w:w="5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01696F"/>
                <w:sz w:val="20"/>
                <w:szCs w:val="20"/>
              </w:rPr>
              <w:t xml:space="preserve">3</w:t>
            </w:r>
          </w:p>
        </w:tc>
        <w:tc>
          <w:tcPr>
            <w:tcW w:type="dxa" w:w="63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The long-term (200-day) average price is trending upward — confirms the stock is not in the early stages of a trend reversal</w:t>
            </w:r>
          </w:p>
        </w:tc>
        <w:tc>
          <w:tcPr>
            <w:tcW w:type="dxa" w:w="25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Length of the lookback period used to judge "trending up" (default ≈ 1 month)</w:t>
            </w:r>
          </w:p>
        </w:tc>
      </w:tr>
      <w:tr>
        <w:tc>
          <w:tcPr>
            <w:tcW w:type="dxa" w:w="5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01696F"/>
                <w:sz w:val="20"/>
                <w:szCs w:val="20"/>
              </w:rPr>
              <w:t xml:space="preserve">4</w:t>
            </w:r>
          </w:p>
        </w:tc>
        <w:tc>
          <w:tcPr>
            <w:tcW w:type="dxa" w:w="636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Short-, medium-, and long-term average prices are stacked in descending order ("perfect alignment") — the most ideal trend structure</w:t>
            </w:r>
          </w:p>
        </w:tc>
        <w:tc>
          <w:tcPr>
            <w:tcW w:type="dxa" w:w="25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None</w:t>
            </w:r>
          </w:p>
        </w:tc>
      </w:tr>
      <w:tr>
        <w:tc>
          <w:tcPr>
            <w:tcW w:type="dxa" w:w="5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01696F"/>
                <w:sz w:val="20"/>
                <w:szCs w:val="20"/>
              </w:rPr>
              <w:t xml:space="preserve">5</w:t>
            </w:r>
          </w:p>
        </w:tc>
        <w:tc>
          <w:tcPr>
            <w:tcW w:type="dxa" w:w="63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Current price is above the short-term (50-day) average price — confirms short-term momentum hasn’t weakened</w:t>
            </w:r>
          </w:p>
        </w:tc>
        <w:tc>
          <w:tcPr>
            <w:tcW w:type="dxa" w:w="25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None</w:t>
            </w:r>
          </w:p>
        </w:tc>
      </w:tr>
      <w:tr>
        <w:tc>
          <w:tcPr>
            <w:tcW w:type="dxa" w:w="5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01696F"/>
                <w:sz w:val="20"/>
                <w:szCs w:val="20"/>
              </w:rPr>
              <w:t xml:space="preserve">6</w:t>
            </w:r>
          </w:p>
        </w:tc>
        <w:tc>
          <w:tcPr>
            <w:tcW w:type="dxa" w:w="636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Current price has already pulled sufficiently far away from its 52-week low — avoids stocks still lingering near their lows</w:t>
            </w:r>
          </w:p>
        </w:tc>
        <w:tc>
          <w:tcPr>
            <w:tcW w:type="dxa" w:w="25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Multiple above the 52-week low (default: 30% above)</w:t>
            </w:r>
          </w:p>
        </w:tc>
      </w:tr>
      <w:tr>
        <w:tc>
          <w:tcPr>
            <w:tcW w:type="dxa" w:w="5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01696F"/>
                <w:sz w:val="20"/>
                <w:szCs w:val="20"/>
              </w:rPr>
              <w:t xml:space="preserve">7</w:t>
            </w:r>
          </w:p>
        </w:tc>
        <w:tc>
          <w:tcPr>
            <w:tcW w:type="dxa" w:w="63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Current price is already close to its 52-week high — confirms the stock is in a genuinely strong price zone</w:t>
            </w:r>
          </w:p>
        </w:tc>
        <w:tc>
          <w:tcPr>
            <w:tcW w:type="dxa" w:w="25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Multiple of the 52-week high (default: within 25% of the high)</w:t>
            </w:r>
          </w:p>
        </w:tc>
      </w:tr>
      <w:tr>
        <w:tc>
          <w:tcPr>
            <w:tcW w:type="dxa" w:w="5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01696F"/>
                <w:sz w:val="20"/>
                <w:szCs w:val="20"/>
              </w:rPr>
              <w:t xml:space="preserve">8</w:t>
            </w:r>
          </w:p>
        </w:tc>
        <w:tc>
          <w:tcPr>
            <w:tcW w:type="dxa" w:w="636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Relative strength score (a momentum ranking compared against the rest of the current candidate pool) is sufficiently high — confirms this stock’s rally is outperforming its peers in the same batch</w:t>
            </w:r>
          </w:p>
        </w:tc>
        <w:tc>
          <w:tcPr>
            <w:tcW w:type="dxa" w:w="25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Minimum qualifying percentile (default: 70th percentile, i.e. outperforming 70% of the candidate pool)</w:t>
            </w:r>
          </w:p>
        </w:tc>
      </w:tr>
    </w:tbl>
    <w:p>
      <w:pPr>
        <w:spacing w:after="160"/>
      </w:pPr>
      <w:r>
        <w:t xml:space="preserve"/>
      </w:r>
    </w:p>
    <w:p>
      <w:pPr>
        <w:spacing w:after="160"/>
      </w:pPr>
      <w:r>
        <w:rPr>
          <w:b/>
          <w:bCs/>
        </w:rPr>
        <w:t xml:space="preserve">The business logic behind condition 8’s "relative strength score": </w:t>
      </w:r>
      <w:r>
        <w:t xml:space="preserve">it combines the stock’s price change over the past 3, 6, 9, and 12 months, weighting the most recent 3 months more heavily (since the most recent momentum matters most), then ranks this score against every other stock in that same screening run’s candidate pool, converting it into a 1–99 percentile — the higher the score, the stronger the stock’s rally relative to its peers in that batch.</w:t>
      </w:r>
    </w:p>
    <w:p>
      <w:pPr>
        <w:pStyle w:val="Heading2"/>
      </w:pPr>
      <w:r>
        <w:t xml:space="preserve">3.3 Results Presentation</w:t>
      </w:r>
    </w:p>
    <w:p>
      <w:pPr>
        <w:pStyle w:val="ListParagraph"/>
        <w:numPr>
          <w:ilvl w:val="0"/>
          <w:numId w:val="3"/>
        </w:numPr>
        <w:spacing w:after="80"/>
      </w:pPr>
      <w:r>
        <w:t xml:space="preserve">Results are shown as a simple table: ticker, company name, market cap, current price, relative strength ranking, and how many of the 8 conditions were passed.</w:t>
      </w:r>
    </w:p>
    <w:p>
      <w:pPr>
        <w:pStyle w:val="ListParagraph"/>
        <w:numPr>
          <w:ilvl w:val="0"/>
          <w:numId w:val="3"/>
        </w:numPr>
        <w:spacing w:after="80"/>
      </w:pPr>
      <w:r>
        <w:t xml:space="preserve">Every screening run is logged (candidate pool size, number of passes, time taken), so the user can review past results and compare the effect of different filter settings over time.</w:t>
      </w:r>
    </w:p>
    <w:p>
      <w:pPr>
        <w:pStyle w:val="ListParagraph"/>
        <w:numPr>
          <w:ilvl w:val="0"/>
          <w:numId w:val="3"/>
        </w:numPr>
        <w:spacing w:after="80"/>
      </w:pPr>
      <w:r>
        <w:t xml:space="preserve">The user can modify either the Layer 0 universe criteria or the Layer 1 toggles/thresholds at any time and re-run the screen immediately, without needing a developer to change any code.</w:t>
      </w:r>
    </w:p>
    <w:p>
      <w:pPr>
        <w:pStyle w:val="Heading1"/>
      </w:pPr>
      <w: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D1CA" w:sz="4"/>
              <w:left w:val="single" w:color="D4D1CA" w:sz="4"/>
              <w:bottom w:val="single" w:color="D4D1CA" w:sz="4"/>
              <w:right w:val="single" w:color="D4D1CA" w:sz="4"/>
            </w:tcBorders>
            <w:shd w:fill="01696F" w:val="clear"/>
            <w:tcMar>
              <w:top w:type="dxa" w:w="90"/>
              <w:left w:type="dxa" w:w="120"/>
              <w:bottom w:type="dxa" w:w="90"/>
              <w:right w:type="dxa" w:w="120"/>
            </w:tcMar>
            <w:vAlign w:val="center"/>
          </w:tcPr>
          <w:p>
            <w:r>
              <w:rPr>
                <w:b/>
                <w:bCs/>
                <w:color w:val="FFFFFF"/>
                <w:sz w:val="20"/>
                <w:szCs w:val="20"/>
              </w:rPr>
              <w:t xml:space="preserve">Item</w:t>
            </w:r>
          </w:p>
        </w:tc>
        <w:tc>
          <w:tcPr>
            <w:tcW w:type="dxa" w:w="6960"/>
            <w:tcBorders>
              <w:top w:val="single" w:color="D4D1CA" w:sz="4"/>
              <w:left w:val="single" w:color="D4D1CA" w:sz="4"/>
              <w:bottom w:val="single" w:color="D4D1CA" w:sz="4"/>
              <w:right w:val="single" w:color="D4D1CA" w:sz="4"/>
            </w:tcBorders>
            <w:shd w:fill="01696F" w:val="clear"/>
            <w:tcMar>
              <w:top w:type="dxa" w:w="90"/>
              <w:left w:type="dxa" w:w="120"/>
              <w:bottom w:type="dxa" w:w="90"/>
              <w:right w:type="dxa" w:w="120"/>
            </w:tcMar>
            <w:vAlign w:val="center"/>
          </w:tcPr>
          <w:p>
            <w:r>
              <w:rPr>
                <w:b/>
                <w:bCs/>
                <w:color w:val="FFFFFF"/>
                <w:sz w:val="20"/>
                <w:szCs w:val="20"/>
              </w:rPr>
              <w:t xml:space="preserve">Requirement</w:t>
            </w:r>
          </w:p>
        </w:tc>
      </w:tr>
      <w:tr>
        <w:tc>
          <w:tcPr>
            <w:tcW w:type="dxa" w:w="24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28251D"/>
                <w:sz w:val="20"/>
                <w:szCs w:val="20"/>
              </w:rPr>
              <w:t xml:space="preserve">Response time</w:t>
            </w:r>
          </w:p>
        </w:tc>
        <w:tc>
          <w:tcPr>
            <w:tcW w:type="dxa" w:w="69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A single screening run (a candidate pool of several hundred to roughly a thousand stocks) should complete within a few seconds — the user should not experience long waits</w:t>
            </w:r>
          </w:p>
        </w:tc>
      </w:tr>
      <w:tr>
        <w:tc>
          <w:tcPr>
            <w:tcW w:type="dxa" w:w="24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28251D"/>
                <w:sz w:val="20"/>
                <w:szCs w:val="20"/>
              </w:rPr>
              <w:t xml:space="preserve">Data freshness</w:t>
            </w:r>
          </w:p>
        </w:tc>
        <w:tc>
          <w:tcPr>
            <w:tcW w:type="dxa" w:w="696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Every screening run computes against current market data in real time, not a stale cache</w:t>
            </w:r>
          </w:p>
        </w:tc>
      </w:tr>
      <w:tr>
        <w:tc>
          <w:tcPr>
            <w:tcW w:type="dxa" w:w="24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28251D"/>
                <w:sz w:val="20"/>
                <w:szCs w:val="20"/>
              </w:rPr>
              <w:t xml:space="preserve">Usability</w:t>
            </w:r>
          </w:p>
        </w:tc>
        <w:tc>
          <w:tcPr>
            <w:tcW w:type="dxa" w:w="69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Modifying filter criteria (Layer 0 or Layer 1) should never require programming knowledge; the interface must be intuitive</w:t>
            </w:r>
          </w:p>
        </w:tc>
      </w:tr>
      <w:tr>
        <w:tc>
          <w:tcPr>
            <w:tcW w:type="dxa" w:w="24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28251D"/>
                <w:sz w:val="20"/>
                <w:szCs w:val="20"/>
              </w:rPr>
              <w:t xml:space="preserve">Transparency</w:t>
            </w:r>
          </w:p>
        </w:tc>
        <w:tc>
          <w:tcPr>
            <w:tcW w:type="dxa" w:w="696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The user must be able to clearly see the pass/fail detail for each of the 8 conditions per stock — not just an aggregate score</w:t>
            </w:r>
          </w:p>
        </w:tc>
      </w:tr>
      <w:tr>
        <w:tc>
          <w:tcPr>
            <w:tcW w:type="dxa" w:w="24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28251D"/>
                <w:sz w:val="20"/>
                <w:szCs w:val="20"/>
              </w:rPr>
              <w:t xml:space="preserve">Historical traceability</w:t>
            </w:r>
          </w:p>
        </w:tc>
        <w:tc>
          <w:tcPr>
            <w:tcW w:type="dxa" w:w="69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Past screening results and the filter settings used to produce them must be retained, to support review and comparison</w:t>
            </w:r>
          </w:p>
        </w:tc>
      </w:tr>
    </w:tbl>
    <w:p>
      <w:pPr>
        <w:pStyle w:val="Heading1"/>
      </w:pPr>
      <w:r>
        <w:t xml:space="preserve">5. Scope Boundaries</w:t>
      </w:r>
    </w:p>
    <w:p>
      <w:pPr>
        <w:spacing w:after="160"/>
      </w:pPr>
      <w:r>
        <w:rPr>
          <w:b/>
          <w:bCs/>
        </w:rPr>
        <w:t xml:space="preserve">Covered by this document (Layer 0+1):</w:t>
      </w:r>
    </w:p>
    <w:p>
      <w:pPr>
        <w:pStyle w:val="ListParagraph"/>
        <w:numPr>
          <w:ilvl w:val="0"/>
          <w:numId w:val="3"/>
        </w:numPr>
        <w:spacing w:after="80"/>
      </w:pPr>
      <w:r>
        <w:t xml:space="preserve">Basic pre-filtering of the full-market candidate universe (market cap, exchange, security type, etc.)</w:t>
      </w:r>
    </w:p>
    <w:p>
      <w:pPr>
        <w:pStyle w:val="ListParagraph"/>
        <w:numPr>
          <w:ilvl w:val="0"/>
          <w:numId w:val="3"/>
        </w:numPr>
        <w:spacing w:after="80"/>
      </w:pPr>
      <w:r>
        <w:t xml:space="preserve">Minervini Trend Template’s 8 hard technical filter conditions</w:t>
      </w:r>
    </w:p>
    <w:p>
      <w:pPr>
        <w:spacing w:after="160"/>
      </w:pPr>
      <w:r>
        <w:t xml:space="preserve"/>
      </w:r>
    </w:p>
    <w:p>
      <w:pPr>
        <w:spacing w:after="160"/>
      </w:pPr>
      <w:r>
        <w:rPr>
          <w:b/>
          <w:bCs/>
        </w:rPr>
        <w:t xml:space="preserve">Not covered by this document (belongs to later layers already defined in the original five-layer architecture document, to be addressed separately):</w:t>
      </w:r>
    </w:p>
    <w:p>
      <w:pPr>
        <w:pStyle w:val="ListParagraph"/>
        <w:numPr>
          <w:ilvl w:val="0"/>
          <w:numId w:val="3"/>
        </w:numPr>
        <w:spacing w:after="80"/>
      </w:pPr>
      <w:r>
        <w:t xml:space="preserve">Layer 2: Momentum and sector-strength scoring/ranking (detailed sector-strength analysis)</w:t>
      </w:r>
    </w:p>
    <w:p>
      <w:pPr>
        <w:pStyle w:val="ListParagraph"/>
        <w:numPr>
          <w:ilvl w:val="0"/>
          <w:numId w:val="3"/>
        </w:numPr>
        <w:spacing w:after="80"/>
      </w:pPr>
      <w:r>
        <w:t xml:space="preserve">Layer 3: Pattern/structure confirmation (EMA alignment, VCP contraction pattern)</w:t>
      </w:r>
    </w:p>
    <w:p>
      <w:pPr>
        <w:pStyle w:val="ListParagraph"/>
        <w:numPr>
          <w:ilvl w:val="0"/>
          <w:numId w:val="3"/>
        </w:numPr>
        <w:spacing w:after="80"/>
      </w:pPr>
      <w:r>
        <w:t xml:space="preserve">Layer 4: Entry signal convergence (M.E.T.A. multi-signal confirmation)</w:t>
      </w:r>
    </w:p>
    <w:p>
      <w:pPr>
        <w:pStyle w:val="ListParagraph"/>
        <w:numPr>
          <w:ilvl w:val="0"/>
          <w:numId w:val="3"/>
        </w:numPr>
        <w:spacing w:after="80"/>
      </w:pPr>
      <w:r>
        <w:t xml:space="preserve">Layer 5: Risk management, anomaly monitoring, and exit logic (stop-loss, position sizing, time-based stops, etc.)</w:t>
      </w:r>
    </w:p>
    <w:p>
      <w:pPr>
        <w:pStyle w:val="ListParagraph"/>
        <w:numPr>
          <w:ilvl w:val="0"/>
          <w:numId w:val="3"/>
        </w:numPr>
        <w:spacing w:after="80"/>
      </w:pPr>
      <w:r>
        <w:t xml:space="preserve">Brokerage account / trade execution integration (no broker account is connected at this time)</w:t>
      </w:r>
    </w:p>
    <w:p>
      <w:pPr>
        <w:pStyle w:val="ListParagraph"/>
        <w:numPr>
          <w:ilvl w:val="0"/>
          <w:numId w:val="3"/>
        </w:numPr>
        <w:spacing w:after="80"/>
      </w:pPr>
      <w:r>
        <w:t xml:space="preserve">Multi-user support (currently a single-user tool for Bryan)</w:t>
      </w:r>
    </w:p>
    <w:p>
      <w:pPr>
        <w:pStyle w:val="Heading1"/>
      </w:pPr>
      <w:r>
        <w:t xml:space="preserve">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4D1CA" w:sz="4"/>
              <w:left w:val="single" w:color="D4D1CA" w:sz="4"/>
              <w:bottom w:val="single" w:color="D4D1CA" w:sz="4"/>
              <w:right w:val="single" w:color="D4D1CA" w:sz="4"/>
            </w:tcBorders>
            <w:shd w:fill="01696F" w:val="clear"/>
            <w:tcMar>
              <w:top w:type="dxa" w:w="90"/>
              <w:left w:type="dxa" w:w="120"/>
              <w:bottom w:type="dxa" w:w="90"/>
              <w:right w:type="dxa" w:w="120"/>
            </w:tcMar>
            <w:vAlign w:val="center"/>
          </w:tcPr>
          <w:p>
            <w:r>
              <w:rPr>
                <w:b/>
                <w:bCs/>
                <w:color w:val="FFFFFF"/>
                <w:sz w:val="20"/>
                <w:szCs w:val="20"/>
              </w:rPr>
              <w:t xml:space="preserve">Term</w:t>
            </w:r>
          </w:p>
        </w:tc>
        <w:tc>
          <w:tcPr>
            <w:tcW w:type="dxa" w:w="6560"/>
            <w:tcBorders>
              <w:top w:val="single" w:color="D4D1CA" w:sz="4"/>
              <w:left w:val="single" w:color="D4D1CA" w:sz="4"/>
              <w:bottom w:val="single" w:color="D4D1CA" w:sz="4"/>
              <w:right w:val="single" w:color="D4D1CA" w:sz="4"/>
            </w:tcBorders>
            <w:shd w:fill="01696F" w:val="clear"/>
            <w:tcMar>
              <w:top w:type="dxa" w:w="90"/>
              <w:left w:type="dxa" w:w="120"/>
              <w:bottom w:type="dxa" w:w="90"/>
              <w:right w:type="dxa" w:w="120"/>
            </w:tcMar>
            <w:vAlign w:val="center"/>
          </w:tcPr>
          <w:p>
            <w:r>
              <w:rPr>
                <w:b/>
                <w:bCs/>
                <w:color w:val="FFFFFF"/>
                <w:sz w:val="20"/>
                <w:szCs w:val="20"/>
              </w:rPr>
              <w:t xml:space="preserve">Business Meaning</w:t>
            </w:r>
          </w:p>
        </w:tc>
      </w:tr>
      <w:tr>
        <w:tc>
          <w:tcPr>
            <w:tcW w:type="dxa" w:w="28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28251D"/>
                <w:sz w:val="20"/>
                <w:szCs w:val="20"/>
              </w:rPr>
              <w:t xml:space="preserve">Candidate universe / pool</w:t>
            </w:r>
          </w:p>
        </w:tc>
        <w:tc>
          <w:tcPr>
            <w:tcW w:type="dxa" w:w="65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The list of stocks entering the screening process</w:t>
            </w:r>
          </w:p>
        </w:tc>
      </w:tr>
      <w:tr>
        <w:tc>
          <w:tcPr>
            <w:tcW w:type="dxa" w:w="28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28251D"/>
                <w:sz w:val="20"/>
                <w:szCs w:val="20"/>
              </w:rPr>
              <w:t xml:space="preserve">Trend Template</w:t>
            </w:r>
          </w:p>
        </w:tc>
        <w:tc>
          <w:tcPr>
            <w:tcW w:type="dxa" w:w="656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Mark Minervini’s set of 8 technical conditions used to confirm a stock is in a healthy uptrend</w:t>
            </w:r>
          </w:p>
        </w:tc>
      </w:tr>
      <w:tr>
        <w:tc>
          <w:tcPr>
            <w:tcW w:type="dxa" w:w="28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28251D"/>
                <w:sz w:val="20"/>
                <w:szCs w:val="20"/>
              </w:rPr>
              <w:t xml:space="preserve">Moving average / SMA</w:t>
            </w:r>
          </w:p>
        </w:tc>
        <w:tc>
          <w:tcPr>
            <w:tcW w:type="dxa" w:w="65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The average closing price over the past N days, used to judge trend direction (e.g. 50-day, 150-day, 200-day averages)</w:t>
            </w:r>
          </w:p>
        </w:tc>
      </w:tr>
      <w:tr>
        <w:tc>
          <w:tcPr>
            <w:tcW w:type="dxa" w:w="28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28251D"/>
                <w:sz w:val="20"/>
                <w:szCs w:val="20"/>
              </w:rPr>
              <w:t xml:space="preserve">52-week high/low</w:t>
            </w:r>
          </w:p>
        </w:tc>
        <w:tc>
          <w:tcPr>
            <w:tcW w:type="dxa" w:w="656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The highest/lowest price a stock has reached over the past year</w:t>
            </w:r>
          </w:p>
        </w:tc>
      </w:tr>
      <w:tr>
        <w:tc>
          <w:tcPr>
            <w:tcW w:type="dxa" w:w="280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bCs/>
                <w:color w:val="28251D"/>
                <w:sz w:val="20"/>
                <w:szCs w:val="20"/>
              </w:rPr>
              <w:t xml:space="preserve">Relative Strength score / RS Rating</w:t>
            </w:r>
          </w:p>
        </w:tc>
        <w:tc>
          <w:tcPr>
            <w:tcW w:type="dxa" w:w="6560"/>
            <w:tcBorders>
              <w:top w:val="single" w:color="D4D1CA" w:sz="4"/>
              <w:left w:val="single" w:color="D4D1CA" w:sz="4"/>
              <w:bottom w:val="single" w:color="D4D1CA" w:sz="4"/>
              <w:right w:val="single" w:color="D4D1CA" w:sz="4"/>
            </w:tcBorders>
            <w:shd w:fill="FFFFFF" w:val="clear"/>
            <w:tcMar>
              <w:top w:type="dxa" w:w="90"/>
              <w:left w:type="dxa" w:w="120"/>
              <w:bottom w:type="dxa" w:w="90"/>
              <w:right w:type="dxa" w:w="120"/>
            </w:tcMar>
            <w:vAlign w:val="center"/>
          </w:tcPr>
          <w:p>
            <w:r>
              <w:rPr>
                <w:b w:val="false"/>
                <w:bCs w:val="false"/>
                <w:color w:val="28251D"/>
                <w:sz w:val="20"/>
                <w:szCs w:val="20"/>
              </w:rPr>
              <w:t xml:space="preserve">A 1–99 percentile ranking of a stock’s price momentum compared against the rest of the current candidate pool — the higher the score, the stronger the rally</w:t>
            </w:r>
          </w:p>
        </w:tc>
      </w:tr>
      <w:tr>
        <w:tc>
          <w:tcPr>
            <w:tcW w:type="dxa" w:w="280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bCs/>
                <w:color w:val="28251D"/>
                <w:sz w:val="20"/>
                <w:szCs w:val="20"/>
              </w:rPr>
              <w:t xml:space="preserve">Hard filter</w:t>
            </w:r>
          </w:p>
        </w:tc>
        <w:tc>
          <w:tcPr>
            <w:tcW w:type="dxa" w:w="6560"/>
            <w:tcBorders>
              <w:top w:val="single" w:color="D4D1CA" w:sz="4"/>
              <w:left w:val="single" w:color="D4D1CA" w:sz="4"/>
              <w:bottom w:val="single" w:color="D4D1CA" w:sz="4"/>
              <w:right w:val="single" w:color="D4D1CA" w:sz="4"/>
            </w:tcBorders>
            <w:shd w:fill="F9F8F5" w:val="clear"/>
            <w:tcMar>
              <w:top w:type="dxa" w:w="90"/>
              <w:left w:type="dxa" w:w="120"/>
              <w:bottom w:type="dxa" w:w="90"/>
              <w:right w:type="dxa" w:w="120"/>
            </w:tcMar>
            <w:vAlign w:val="center"/>
          </w:tcPr>
          <w:p>
            <w:r>
              <w:rPr>
                <w:b w:val="false"/>
                <w:bCs w:val="false"/>
                <w:color w:val="28251D"/>
                <w:sz w:val="20"/>
                <w:szCs w:val="20"/>
              </w:rPr>
              <w:t xml:space="preserve">A condition set where all criteria must be satisfied to pass — not a points-based scoring system where partial credit is enough</w:t>
            </w:r>
          </w:p>
        </w:tc>
      </w:tr>
    </w:tbl>
    <w:p>
      <w:pPr>
        <w:spacing w:after="160"/>
      </w:pPr>
      <w:r>
        <w:t xml:space="preserve"/>
      </w:r>
    </w:p>
    <w:p>
      <w:pPr>
        <w:spacing w:after="160"/>
      </w:pPr>
      <w:r>
        <w:rPr>
          <w:i/>
          <w:iCs/>
          <w:color w:val="7A7974"/>
        </w:rPr>
        <w:t xml:space="preserve">Note: </w:t>
      </w:r>
      <w:r>
        <w:rPr>
          <w:i/>
          <w:iCs/>
          <w:color w:val="7A7974"/>
          <w:sz w:val="18"/>
          <w:szCs w:val="18"/>
        </w:rPr>
        <w:t xml:space="preserve">This is the business-facing rewrite of the BRD, replacing earlier versions that contained SQL, database structure, API, and other technical content — that material now lives in a separate Technical Specification document for engineering reference. The definitions of the 8 conditions in this document are kept consistent with Layer 1 of the original Chinese-language source document, "US Short/Mid-Term Breakout Stock Scoring &amp; Ranking System — System Requirements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974"/>
        <w:sz w:val="16"/>
        <w:szCs w:val="16"/>
      </w:rPr>
      <w:t xml:space="preserve">Page </w:t>
    </w:r>
    <w:r>
      <w:rPr>
        <w:color w:val="7A7974"/>
        <w:sz w:val="16"/>
        <w:szCs w:val="16"/>
      </w:rPr>
      <w:fldChar w:fldCharType="begin"/>
      <w:instrText xml:space="preserve">PAGE</w:instrText>
      <w:fldChar w:fldCharType="separate"/>
      <w:fldChar w:fldCharType="end"/>
    </w:r>
    <w:r>
      <w:rPr>
        <w:color w:val="7A7974"/>
        <w:sz w:val="16"/>
        <w:szCs w:val="16"/>
      </w:rPr>
      <w:t xml:space="preserve"> of </w:t>
    </w:r>
    <w:r>
      <w:rPr>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A7974"/>
        <w:sz w:val="16"/>
        <w:szCs w:val="16"/>
      </w:rPr>
      <w:t xml:space="preserve">US Momentum Screener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1696F"/>
      <w:sz w:val="56"/>
      <w:szCs w:val="56"/>
    </w:rPr>
  </w:style>
  <w:style w:type="paragraph" w:styleId="Subtitle">
    <w:name w:val="Subtitle"/>
    <w:basedOn w:val="Normal"/>
    <w:next w:val="Normal"/>
    <w:pPr>
      <w:spacing w:after="400"/>
    </w:pPr>
    <w:rPr>
      <w:rFonts w:ascii="Calibri" w:cs="Calibri" w:eastAsia="Calibri" w:hAnsi="Calibri"/>
      <w:color w:val="7A7974"/>
      <w:sz w:val="30"/>
      <w:szCs w:val="30"/>
    </w:rPr>
  </w:style>
  <w:style w:type="paragraph" w:styleId="Heading1">
    <w:name w:val="Heading 1"/>
    <w:basedOn w:val="Normal"/>
    <w:next w:val="Normal"/>
    <w:qFormat/>
    <w:pPr>
      <w:pBdr>
        <w:bottom w:val="single" w:color="01696F" w:sz="6" w:space="4"/>
      </w:pBdr>
      <w:spacing w:after="200" w:before="400"/>
      <w:outlineLvl w:val="0"/>
    </w:pPr>
    <w:rPr>
      <w:rFonts w:ascii="Calibri" w:cs="Calibri" w:eastAsia="Calibri" w:hAnsi="Calibri"/>
      <w:b/>
      <w:bCs/>
      <w:color w:val="28251D"/>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01696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2026-09-10T22:29:24.557Z</dcterms:created>
  <dcterms:modified xsi:type="dcterms:W3CDTF">2026-09-10T22:29:24.558Z</dcterms:modified>
</cp:coreProperties>
</file>

<file path=docProps/custom.xml><?xml version="1.0" encoding="utf-8"?>
<Properties xmlns="http://schemas.openxmlformats.org/officeDocument/2006/custom-properties" xmlns:vt="http://schemas.openxmlformats.org/officeDocument/2006/docPropsVTypes"/>
</file>