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2F6F5E"/>
          <w:spacing w:val="40"/>
          <w:sz w:val="18"/>
          <w:szCs w:val="18"/>
        </w:rPr>
        <w:t xml:space="preserve">WEALTH POLICY DESK</w:t>
      </w:r>
    </w:p>
    <w:p>
      <w:pPr>
        <w:spacing w:after="40"/>
      </w:pPr>
      <w:r>
        <w:rPr>
          <w:rFonts w:ascii="Calibri" w:cs="Calibri" w:eastAsia="Calibri" w:hAnsi="Calibri"/>
          <w:b/>
          <w:bCs/>
          <w:color w:val="1F2A37"/>
          <w:sz w:val="40"/>
          <w:szCs w:val="40"/>
        </w:rPr>
        <w:t xml:space="preserve">Allocation Model &amp; Investment Policy</w:t>
      </w:r>
    </w:p>
    <w:p>
      <w:pPr>
        <w:spacing w:after="120"/>
      </w:pPr>
      <w:r>
        <w:rPr>
          <w:rFonts w:ascii="Calibri" w:cs="Calibri" w:eastAsia="Calibri" w:hAnsi="Calibri"/>
          <w:i/>
          <w:iCs/>
          <w:color w:val="6B7280"/>
          <w:sz w:val="22"/>
          <w:szCs w:val="22"/>
        </w:rPr>
        <w:t xml:space="preserve">State of the engine — what the code enforces vs. what it only states</w:t>
      </w:r>
    </w:p>
    <w:p>
      <w:pPr>
        <w:spacing w:after="40"/>
      </w:pPr>
      <w:r>
        <w:rPr>
          <w:rFonts w:ascii="Calibri" w:cs="Calibri" w:eastAsia="Calibri" w:hAnsi="Calibri"/>
          <w:color w:val="6B7280"/>
          <w:sz w:val="18"/>
          <w:szCs w:val="18"/>
        </w:rPr>
        <w:t xml:space="preserve">Internal engineering assessment</w:t>
      </w:r>
      <w:r>
        <w:rPr>
          <w:rFonts w:ascii="Calibri" w:cs="Calibri" w:eastAsia="Calibri" w:hAnsi="Calibri"/>
          <w:color w:val="6B7280"/>
          <w:sz w:val="18"/>
          <w:szCs w:val="18"/>
        </w:rPr>
        <w:t xml:space="preserve">     ·     August 17, 2026</w:t>
      </w:r>
    </w:p>
    <w:p>
      <w:pPr>
        <w:pBdr>
          <w:bottom w:val="single" w:color="D8DCD8" w:sz="6" w:space="4"/>
        </w:pBdr>
        <w:spacing w:after="160"/>
      </w:pPr>
      <w:r>
        <w:rPr>
          <w:rFonts w:ascii="Calibri" w:cs="Calibri" w:eastAsia="Calibri" w:hAnsi="Calibri"/>
        </w:rPr>
        <w:t xml:space="preserve"/>
      </w:r>
    </w:p>
    <w:p>
      <w:pPr>
        <w:pStyle w:val="Heading1"/>
        <w:spacing w:after="120" w:before="300"/>
      </w:pPr>
      <w:r>
        <w:rPr>
          <w:rFonts w:ascii="Calibri" w:cs="Calibri" w:eastAsia="Calibri" w:hAnsi="Calibri"/>
          <w:b/>
          <w:bCs/>
          <w:color w:val="1F2A37"/>
          <w:sz w:val="30"/>
          <w:szCs w:val="30"/>
        </w:rPr>
        <w:t xml:space="preserve">Executive summary</w:t>
      </w:r>
    </w:p>
    <w:p>
      <w:pPr>
        <w:spacing w:after="120" w:line="276"/>
      </w:pPr>
      <w:r>
        <w:rPr>
          <w:rFonts w:ascii="Calibri" w:cs="Calibri" w:eastAsia="Calibri" w:hAnsi="Calibri"/>
        </w:rPr>
        <w:t xml:space="preserve">The engine is genuinely decision-grade on liabilities, taxes, and structure. But the app’s loudest claim — that </w:t>
      </w:r>
      <w:r>
        <w:rPr>
          <w:rFonts w:ascii="Calibri" w:cs="Calibri" w:eastAsia="Calibri" w:hAnsi="Calibri"/>
          <w:i/>
          <w:iCs/>
        </w:rPr>
        <w:t xml:space="preserve">“allocation is an output, the residue of funding your claims”</w:t>
      </w:r>
      <w:r>
        <w:rPr>
          <w:rFonts w:ascii="Calibri" w:cs="Calibri" w:eastAsia="Calibri" w:hAnsi="Calibri"/>
        </w:rPr>
        <w:t xml:space="preserve"> — is narrative over a fixed seed policy. Every sleeve target is a hardcoded constant handed identically to every household; nothing solves a target from the funded ratio, required return, or the equity ceiling the risk engine already computes.</w:t>
      </w:r>
    </w:p>
    <w:p>
      <w:pPr>
        <w:spacing w:after="120" w:line="276"/>
      </w:pPr>
      <w:r>
        <w:rPr>
          <w:rFonts w:ascii="Calibri" w:cs="Calibri" w:eastAsia="Calibri" w:hAnsi="Calibri"/>
        </w:rPr>
        <w:t xml:space="preserve">This overview separates what the code </w:t>
      </w:r>
      <w:r>
        <w:rPr>
          <w:rFonts w:ascii="Calibri" w:cs="Calibri" w:eastAsia="Calibri" w:hAnsi="Calibri"/>
          <w:b/>
          <w:bCs/>
          <w:color w:val="1E7A4C"/>
        </w:rPr>
        <w:t xml:space="preserve">enforces</w:t>
      </w:r>
      <w:r>
        <w:rPr>
          <w:rFonts w:ascii="Calibri" w:cs="Calibri" w:eastAsia="Calibri" w:hAnsi="Calibri"/>
        </w:rPr>
        <w:t xml:space="preserve"> from what it only </w:t>
      </w:r>
      <w:r>
        <w:rPr>
          <w:rFonts w:ascii="Calibri" w:cs="Calibri" w:eastAsia="Calibri" w:hAnsi="Calibri"/>
          <w:b/>
          <w:bCs/>
          <w:color w:val="B42318"/>
        </w:rPr>
        <w:t xml:space="preserve">states</w:t>
      </w:r>
      <w:r>
        <w:rPr>
          <w:rFonts w:ascii="Calibri" w:cs="Calibri" w:eastAsia="Calibri" w:hAnsi="Calibri"/>
        </w:rPr>
        <w:t xml:space="preserve">, and lays out the highest-leverage way to close the gap — so any decision about what to build next rests on the real state of the model, not the marketing copy inside it.</w:t>
      </w:r>
    </w:p>
    <w:p>
      <w:pPr>
        <w:pStyle w:val="Heading1"/>
        <w:spacing w:after="120" w:before="300"/>
      </w:pPr>
      <w:r>
        <w:rPr>
          <w:rFonts w:ascii="Calibri" w:cs="Calibri" w:eastAsia="Calibri" w:hAnsi="Calibri"/>
          <w:b/>
          <w:bCs/>
          <w:color w:val="1F2A37"/>
          <w:sz w:val="30"/>
          <w:szCs w:val="30"/>
        </w:rPr>
        <w:t xml:space="preserve">1.  What the allocation model is today</w:t>
      </w:r>
    </w:p>
    <w:p>
      <w:pPr>
        <w:spacing w:after="120" w:line="276"/>
      </w:pPr>
      <w:r>
        <w:rPr>
          <w:rFonts w:ascii="Calibri" w:cs="Calibri" w:eastAsia="Calibri" w:hAnsi="Calibri"/>
        </w:rPr>
        <w:t xml:space="preserve">In plain mechanics, it is a sleeve-based drift monitor — not yet a solver:</w:t>
      </w:r>
    </w:p>
    <w:p>
      <w:pPr>
        <w:pStyle w:val="ListParagraph"/>
        <w:numPr>
          <w:ilvl w:val="0"/>
          <w:numId w:val="2"/>
        </w:numPr>
        <w:spacing w:after="80" w:line="272"/>
      </w:pPr>
      <w:r>
        <w:rPr>
          <w:rFonts w:ascii="Calibri" w:cs="Calibri" w:eastAsia="Calibri" w:hAnsi="Calibri"/>
          <w:b/>
          <w:bCs/>
        </w:rPr>
        <w:t xml:space="preserve">Seven sleeves</w:t>
      </w:r>
      <w:r>
        <w:rPr>
          <w:rFonts w:ascii="Calibri" w:cs="Calibri" w:eastAsia="Calibri" w:hAnsi="Calibri"/>
        </w:rPr>
        <w:t xml:space="preserve"> (US Large Core, Sector Tilt, US Mid/Small, Intl Developed, Emerging, Real Assets/REIT, Liquid Fixed Income), each carrying a target, inner/outer bands, tier, tax-efficiency, location preference, liquidity class, and instruments.</w:t>
      </w:r>
    </w:p>
    <w:p>
      <w:pPr>
        <w:pStyle w:val="ListParagraph"/>
        <w:numPr>
          <w:ilvl w:val="0"/>
          <w:numId w:val="2"/>
        </w:numPr>
        <w:spacing w:after="80" w:line="272"/>
      </w:pPr>
      <w:r>
        <w:rPr>
          <w:rFonts w:ascii="Calibri" w:cs="Calibri" w:eastAsia="Calibri" w:hAnsi="Calibri"/>
          <w:b/>
          <w:bCs/>
        </w:rPr>
        <w:t xml:space="preserve">Current</w:t>
      </w:r>
      <w:r>
        <w:rPr>
          <w:rFonts w:ascii="Calibri" w:cs="Calibri" w:eastAsia="Calibri" w:hAnsi="Calibri"/>
        </w:rPr>
        <w:t xml:space="preserve"> is synthesized from the client’s stated equity percentage (the Path C1 de-circularization), so the top-line equity/FI gap carries real, non-zero-by-construction signal.</w:t>
      </w:r>
    </w:p>
    <w:p>
      <w:pPr>
        <w:pStyle w:val="ListParagraph"/>
        <w:numPr>
          <w:ilvl w:val="0"/>
          <w:numId w:val="2"/>
        </w:numPr>
        <w:spacing w:after="80" w:line="272"/>
      </w:pPr>
      <w:r>
        <w:rPr>
          <w:rFonts w:ascii="Calibri" w:cs="Calibri" w:eastAsia="Calibri" w:hAnsi="Calibri"/>
        </w:rPr>
        <w:t xml:space="preserve">The math is honest: </w:t>
      </w:r>
      <w:r>
        <w:rPr>
          <w:rFonts w:ascii="Consolas" w:cs="Consolas" w:eastAsia="Consolas" w:hAnsi="Consolas"/>
          <w:sz w:val="19"/>
          <w:szCs w:val="19"/>
        </w:rPr>
        <w:t xml:space="preserve">drift = current − target</w:t>
      </w:r>
      <w:r>
        <w:rPr>
          <w:rFonts w:ascii="Calibri" w:cs="Calibri" w:eastAsia="Calibri" w:hAnsi="Calibri"/>
        </w:rPr>
        <w:t xml:space="preserve">  →  band status (within / inner-breach / outer-breach), outer band = 2× inner. Straightforward and correct.</w:t>
      </w:r>
    </w:p>
    <w:p>
      <w:pPr>
        <w:pStyle w:val="ListParagraph"/>
        <w:numPr>
          <w:ilvl w:val="0"/>
          <w:numId w:val="2"/>
        </w:numPr>
        <w:spacing w:after="80" w:line="272"/>
      </w:pPr>
      <w:r>
        <w:rPr>
          <w:rFonts w:ascii="Calibri" w:cs="Calibri" w:eastAsia="Calibri" w:hAnsi="Calibri"/>
          <w:b/>
          <w:bCs/>
        </w:rPr>
        <w:t xml:space="preserve">But the target is fixed. </w:t>
      </w:r>
      <w:r>
        <w:rPr>
          <w:rFonts w:ascii="Calibri" w:cs="Calibri" w:eastAsia="Calibri" w:hAnsi="Calibri"/>
        </w:rPr>
        <w:t xml:space="preserve">Sleeve targets (26 / 9 / 8 / 10 / 7 / 4 / 16 bps + a 20% alternatives budget) are hardcoded constants, and the same global policy is handed to every household. No funded ratio, required return, liability duration, or risk capacity ever enters the target.</w:t>
      </w:r>
    </w:p>
    <w:p>
      <w:pPr>
        <w:pStyle w:val="Heading1"/>
        <w:spacing w:after="120" w:before="300"/>
      </w:pPr>
      <w:r>
        <w:rPr>
          <w:rFonts w:ascii="Calibri" w:cs="Calibri" w:eastAsia="Calibri" w:hAnsi="Calibri"/>
          <w:b/>
          <w:bCs/>
          <w:color w:val="1F2A37"/>
          <w:sz w:val="30"/>
          <w:szCs w:val="30"/>
        </w:rPr>
        <w:t xml:space="preserve">2.  The belief scorecard</w:t>
      </w:r>
    </w:p>
    <w:p>
      <w:pPr>
        <w:spacing w:after="120" w:line="276"/>
      </w:pPr>
      <w:r>
        <w:rPr>
          <w:rFonts w:ascii="Calibri" w:cs="Calibri" w:eastAsia="Calibri" w:hAnsi="Calibri"/>
        </w:rPr>
        <w:t xml:space="preserve">Each investment-policy belief the app professes, and whether the code enforces it or merely states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50"/>
        <w:gridCol w:w="1650"/>
        <w:gridCol w:w="4360"/>
      </w:tblGrid>
      <w:tr>
        <w:trPr>
          <w:tblHeader/>
        </w:trPr>
        <w:tc>
          <w:tcPr>
            <w:tcW w:type="dxa" w:w="3350"/>
            <w:shd w:fill="1F2A37" w:color="auto" w:val="clear"/>
            <w:tcMar>
              <w:top w:type="dxa" w:w="60"/>
              <w:left w:type="dxa" w:w="110"/>
              <w:bottom w:type="dxa" w:w="60"/>
              <w:right w:type="dxa" w:w="110"/>
            </w:tcMar>
          </w:tcPr>
          <w:p>
            <w:r>
              <w:rPr>
                <w:rFonts w:ascii="Calibri" w:cs="Calibri" w:eastAsia="Calibri" w:hAnsi="Calibri"/>
                <w:b/>
                <w:bCs/>
                <w:color w:val="FFFFFF"/>
                <w:sz w:val="19"/>
                <w:szCs w:val="19"/>
              </w:rPr>
              <w:t xml:space="preserve">Belief</w:t>
            </w:r>
          </w:p>
        </w:tc>
        <w:tc>
          <w:tcPr>
            <w:tcW w:type="dxa" w:w="1650"/>
            <w:shd w:fill="1F2A37" w:color="auto" w:val="clear"/>
            <w:tcMar>
              <w:top w:type="dxa" w:w="60"/>
              <w:left w:type="dxa" w:w="110"/>
              <w:bottom w:type="dxa" w:w="60"/>
              <w:right w:type="dxa" w:w="110"/>
            </w:tcMar>
          </w:tcPr>
          <w:p>
            <w:r>
              <w:rPr>
                <w:rFonts w:ascii="Calibri" w:cs="Calibri" w:eastAsia="Calibri" w:hAnsi="Calibri"/>
                <w:b/>
                <w:bCs/>
                <w:color w:val="FFFFFF"/>
                <w:sz w:val="19"/>
                <w:szCs w:val="19"/>
              </w:rPr>
              <w:t xml:space="preserve">Status</w:t>
            </w:r>
          </w:p>
        </w:tc>
        <w:tc>
          <w:tcPr>
            <w:tcW w:type="dxa" w:w="4360"/>
            <w:shd w:fill="1F2A37" w:color="auto" w:val="clear"/>
            <w:tcMar>
              <w:top w:type="dxa" w:w="60"/>
              <w:left w:type="dxa" w:w="110"/>
              <w:bottom w:type="dxa" w:w="60"/>
              <w:right w:type="dxa" w:w="110"/>
            </w:tcMar>
          </w:tcPr>
          <w:p>
            <w:r>
              <w:rPr>
                <w:rFonts w:ascii="Calibri" w:cs="Calibri" w:eastAsia="Calibri" w:hAnsi="Calibri"/>
                <w:b/>
                <w:bCs/>
                <w:color w:val="FFFFFF"/>
                <w:sz w:val="19"/>
                <w:szCs w:val="19"/>
              </w:rPr>
              <w:t xml:space="preserve">What the code actually does</w:t>
            </w:r>
          </w:p>
        </w:tc>
      </w:tr>
      <w:tr>
        <w:tc>
          <w:tcPr>
            <w:tcW w:type="dxa" w:w="3350"/>
            <w:tcMar>
              <w:top w:type="dxa" w:w="60"/>
              <w:left w:type="dxa" w:w="110"/>
              <w:bottom w:type="dxa" w:w="60"/>
              <w:right w:type="dxa" w:w="110"/>
            </w:tcMar>
          </w:tcPr>
          <w:p>
            <w:r>
              <w:rPr>
                <w:rFonts w:ascii="Calibri" w:cs="Calibri" w:eastAsia="Calibri" w:hAnsi="Calibri"/>
                <w:sz w:val="18"/>
                <w:szCs w:val="18"/>
              </w:rPr>
              <w:t xml:space="preserve">Allocation is an output / residue of funding claims</w:t>
            </w:r>
          </w:p>
        </w:tc>
        <w:tc>
          <w:tcPr>
            <w:tcW w:type="dxa" w:w="1650"/>
            <w:tcMar>
              <w:top w:type="dxa" w:w="60"/>
              <w:left w:type="dxa" w:w="110"/>
              <w:bottom w:type="dxa" w:w="60"/>
              <w:right w:type="dxa" w:w="110"/>
            </w:tcMar>
          </w:tcPr>
          <w:p>
            <w:r>
              <w:rPr>
                <w:rFonts w:ascii="Calibri" w:cs="Calibri" w:eastAsia="Calibri" w:hAnsi="Calibri"/>
                <w:b/>
                <w:bCs/>
                <w:color w:val="B42318"/>
                <w:sz w:val="18"/>
                <w:szCs w:val="18"/>
              </w:rPr>
              <w:t xml:space="preserve">Stated only</w:t>
            </w:r>
          </w:p>
        </w:tc>
        <w:tc>
          <w:tcPr>
            <w:tcW w:type="dxa" w:w="4360"/>
            <w:tcMar>
              <w:top w:type="dxa" w:w="60"/>
              <w:left w:type="dxa" w:w="110"/>
              <w:bottom w:type="dxa" w:w="60"/>
              <w:right w:type="dxa" w:w="110"/>
            </w:tcMar>
          </w:tcPr>
          <w:p>
            <w:r>
              <w:rPr>
                <w:rFonts w:ascii="Calibri" w:cs="Calibri" w:eastAsia="Calibri" w:hAnsi="Calibri"/>
                <w:sz w:val="18"/>
                <w:szCs w:val="18"/>
              </w:rPr>
              <w:t xml:space="preserve">Targets are static seed constants; resolveTargets() is named in the Engine header but never implemented. A fixed ~80/20 policy in residue language.</w:t>
            </w:r>
          </w:p>
        </w:tc>
      </w:tr>
      <w:tr>
        <w:tc>
          <w:tcPr>
            <w:tcW w:type="dxa" w:w="3350"/>
            <w:shd w:fill="F4F5F3" w:color="auto" w:val="clear"/>
            <w:tcMar>
              <w:top w:type="dxa" w:w="60"/>
              <w:left w:type="dxa" w:w="110"/>
              <w:bottom w:type="dxa" w:w="60"/>
              <w:right w:type="dxa" w:w="110"/>
            </w:tcMar>
          </w:tcPr>
          <w:p>
            <w:r>
              <w:rPr>
                <w:rFonts w:ascii="Calibri" w:cs="Calibri" w:eastAsia="Calibri" w:hAnsi="Calibri"/>
                <w:sz w:val="18"/>
                <w:szCs w:val="18"/>
              </w:rPr>
              <w:t xml:space="preserve">Edit a claim and the allocation target moves (Teach Lesson 1)</w:t>
            </w:r>
          </w:p>
        </w:tc>
        <w:tc>
          <w:tcPr>
            <w:tcW w:type="dxa" w:w="1650"/>
            <w:shd w:fill="F4F5F3" w:color="auto" w:val="clear"/>
            <w:tcMar>
              <w:top w:type="dxa" w:w="60"/>
              <w:left w:type="dxa" w:w="110"/>
              <w:bottom w:type="dxa" w:w="60"/>
              <w:right w:type="dxa" w:w="110"/>
            </w:tcMar>
          </w:tcPr>
          <w:p>
            <w:r>
              <w:rPr>
                <w:rFonts w:ascii="Calibri" w:cs="Calibri" w:eastAsia="Calibri" w:hAnsi="Calibri"/>
                <w:b/>
                <w:bCs/>
                <w:color w:val="B42318"/>
                <w:sz w:val="18"/>
                <w:szCs w:val="18"/>
              </w:rPr>
              <w:t xml:space="preserve">Stated only</w:t>
            </w:r>
          </w:p>
        </w:tc>
        <w:tc>
          <w:tcPr>
            <w:tcW w:type="dxa" w:w="4360"/>
            <w:shd w:fill="F4F5F3" w:color="auto" w:val="clear"/>
            <w:tcMar>
              <w:top w:type="dxa" w:w="60"/>
              <w:left w:type="dxa" w:w="110"/>
              <w:bottom w:type="dxa" w:w="60"/>
              <w:right w:type="dxa" w:w="110"/>
            </w:tcMar>
          </w:tcPr>
          <w:p>
            <w:r>
              <w:rPr>
                <w:rFonts w:ascii="Calibri" w:cs="Calibri" w:eastAsia="Calibri" w:hAnsi="Calibri"/>
                <w:sz w:val="18"/>
                <w:szCs w:val="18"/>
              </w:rPr>
              <w:t xml:space="preserve">A goal-amount edit moves the required return and the ladder card only; every sleeve target bar sits inert.</w:t>
            </w:r>
          </w:p>
        </w:tc>
      </w:tr>
      <w:tr>
        <w:tc>
          <w:tcPr>
            <w:tcW w:type="dxa" w:w="3350"/>
            <w:tcMar>
              <w:top w:type="dxa" w:w="60"/>
              <w:left w:type="dxa" w:w="110"/>
              <w:bottom w:type="dxa" w:w="60"/>
              <w:right w:type="dxa" w:w="110"/>
            </w:tcMar>
          </w:tcPr>
          <w:p>
            <w:r>
              <w:rPr>
                <w:rFonts w:ascii="Calibri" w:cs="Calibri" w:eastAsia="Calibri" w:hAnsi="Calibri"/>
                <w:sz w:val="18"/>
                <w:szCs w:val="18"/>
              </w:rPr>
              <w:t xml:space="preserve">Fixed income sized to liquidity/liability, not a share</w:t>
            </w:r>
          </w:p>
        </w:tc>
        <w:tc>
          <w:tcPr>
            <w:tcW w:type="dxa" w:w="1650"/>
            <w:tcMar>
              <w:top w:type="dxa" w:w="60"/>
              <w:left w:type="dxa" w:w="110"/>
              <w:bottom w:type="dxa" w:w="60"/>
              <w:right w:type="dxa" w:w="110"/>
            </w:tcMar>
          </w:tcPr>
          <w:p>
            <w:r>
              <w:rPr>
                <w:rFonts w:ascii="Calibri" w:cs="Calibri" w:eastAsia="Calibri" w:hAnsi="Calibri"/>
                <w:b/>
                <w:bCs/>
                <w:color w:val="B45309"/>
                <w:sz w:val="18"/>
                <w:szCs w:val="18"/>
              </w:rPr>
              <w:t xml:space="preserve">Partial</w:t>
            </w:r>
          </w:p>
        </w:tc>
        <w:tc>
          <w:tcPr>
            <w:tcW w:type="dxa" w:w="4360"/>
            <w:tcMar>
              <w:top w:type="dxa" w:w="60"/>
              <w:left w:type="dxa" w:w="110"/>
              <w:bottom w:type="dxa" w:w="60"/>
              <w:right w:type="dxa" w:w="110"/>
            </w:tcMar>
          </w:tcPr>
          <w:p>
            <w:r>
              <w:rPr>
                <w:rFonts w:ascii="Calibri" w:cs="Calibri" w:eastAsia="Calibri" w:hAnsi="Calibri"/>
                <w:sz w:val="18"/>
                <w:szCs w:val="18"/>
              </w:rPr>
              <w:t xml:space="preserve">The ladder is genuinely liability-sized — but the FI sleeve still carries a static 16% target and is drift-policed against it, contradicting its own rationale.</w:t>
            </w:r>
          </w:p>
        </w:tc>
      </w:tr>
      <w:tr>
        <w:tc>
          <w:tcPr>
            <w:tcW w:type="dxa" w:w="3350"/>
            <w:shd w:fill="F4F5F3" w:color="auto" w:val="clear"/>
            <w:tcMar>
              <w:top w:type="dxa" w:w="60"/>
              <w:left w:type="dxa" w:w="110"/>
              <w:bottom w:type="dxa" w:w="60"/>
              <w:right w:type="dxa" w:w="110"/>
            </w:tcMar>
          </w:tcPr>
          <w:p>
            <w:r>
              <w:rPr>
                <w:rFonts w:ascii="Calibri" w:cs="Calibri" w:eastAsia="Calibri" w:hAnsi="Calibri"/>
                <w:sz w:val="18"/>
                <w:szCs w:val="18"/>
              </w:rPr>
              <w:t xml:space="preserve">Risk = shortfall probability, not volatility</w:t>
            </w:r>
          </w:p>
        </w:tc>
        <w:tc>
          <w:tcPr>
            <w:tcW w:type="dxa" w:w="1650"/>
            <w:shd w:fill="F4F5F3" w:color="auto" w:val="clear"/>
            <w:tcMar>
              <w:top w:type="dxa" w:w="60"/>
              <w:left w:type="dxa" w:w="110"/>
              <w:bottom w:type="dxa" w:w="60"/>
              <w:right w:type="dxa" w:w="110"/>
            </w:tcMar>
          </w:tcPr>
          <w:p>
            <w:r>
              <w:rPr>
                <w:rFonts w:ascii="Calibri" w:cs="Calibri" w:eastAsia="Calibri" w:hAnsi="Calibri"/>
                <w:b/>
                <w:bCs/>
                <w:color w:val="B42318"/>
                <w:sz w:val="18"/>
                <w:szCs w:val="18"/>
              </w:rPr>
              <w:t xml:space="preserve">Stated only</w:t>
            </w:r>
          </w:p>
        </w:tc>
        <w:tc>
          <w:tcPr>
            <w:tcW w:type="dxa" w:w="4360"/>
            <w:shd w:fill="F4F5F3" w:color="auto" w:val="clear"/>
            <w:tcMar>
              <w:top w:type="dxa" w:w="60"/>
              <w:left w:type="dxa" w:w="110"/>
              <w:bottom w:type="dxa" w:w="60"/>
              <w:right w:type="dxa" w:w="110"/>
            </w:tcMar>
          </w:tcPr>
          <w:p>
            <w:r>
              <w:rPr>
                <w:rFonts w:ascii="Calibri" w:cs="Calibri" w:eastAsia="Calibri" w:hAnsi="Calibri"/>
                <w:sz w:val="18"/>
                <w:szCs w:val="18"/>
              </w:rPr>
              <w:t xml:space="preserve">Shortfall tolerances are written on every goal and read by nothing. The live binding metric is a max-drawdown (volatility) ceiling — the inverse.</w:t>
            </w:r>
          </w:p>
        </w:tc>
      </w:tr>
      <w:tr>
        <w:tc>
          <w:tcPr>
            <w:tcW w:type="dxa" w:w="3350"/>
            <w:tcMar>
              <w:top w:type="dxa" w:w="60"/>
              <w:left w:type="dxa" w:w="110"/>
              <w:bottom w:type="dxa" w:w="60"/>
              <w:right w:type="dxa" w:w="110"/>
            </w:tcMar>
          </w:tcPr>
          <w:p>
            <w:r>
              <w:rPr>
                <w:rFonts w:ascii="Calibri" w:cs="Calibri" w:eastAsia="Calibri" w:hAnsi="Calibri"/>
                <w:sz w:val="18"/>
                <w:szCs w:val="18"/>
              </w:rPr>
              <w:t xml:space="preserve">Risk capacity vs. tolerance, bind to the lower</w:t>
            </w:r>
          </w:p>
        </w:tc>
        <w:tc>
          <w:tcPr>
            <w:tcW w:type="dxa" w:w="1650"/>
            <w:tcMar>
              <w:top w:type="dxa" w:w="60"/>
              <w:left w:type="dxa" w:w="110"/>
              <w:bottom w:type="dxa" w:w="60"/>
              <w:right w:type="dxa" w:w="110"/>
            </w:tcMar>
          </w:tcPr>
          <w:p>
            <w:r>
              <w:rPr>
                <w:rFonts w:ascii="Calibri" w:cs="Calibri" w:eastAsia="Calibri" w:hAnsi="Calibri"/>
                <w:b/>
                <w:bCs/>
                <w:color w:val="1E7A4C"/>
                <w:sz w:val="18"/>
                <w:szCs w:val="18"/>
              </w:rPr>
              <w:t xml:space="preserve">Enforced</w:t>
            </w:r>
          </w:p>
        </w:tc>
        <w:tc>
          <w:tcPr>
            <w:tcW w:type="dxa" w:w="4360"/>
            <w:tcMar>
              <w:top w:type="dxa" w:w="60"/>
              <w:left w:type="dxa" w:w="110"/>
              <w:bottom w:type="dxa" w:w="60"/>
              <w:right w:type="dxa" w:w="110"/>
            </w:tcMar>
          </w:tcPr>
          <w:p>
            <w:r>
              <w:rPr>
                <w:rFonts w:ascii="Calibri" w:cs="Calibri" w:eastAsia="Calibri" w:hAnsi="Calibri"/>
                <w:sz w:val="18"/>
                <w:szCs w:val="18"/>
              </w:rPr>
              <w:t xml:space="preserve">Real binding check: hard if capacity-bound, soft if tolerance-bound. Not a readout.</w:t>
            </w:r>
          </w:p>
        </w:tc>
      </w:tr>
      <w:tr>
        <w:tc>
          <w:tcPr>
            <w:tcW w:type="dxa" w:w="3350"/>
            <w:shd w:fill="F4F5F3" w:color="auto" w:val="clear"/>
            <w:tcMar>
              <w:top w:type="dxa" w:w="60"/>
              <w:left w:type="dxa" w:w="110"/>
              <w:bottom w:type="dxa" w:w="60"/>
              <w:right w:type="dxa" w:w="110"/>
            </w:tcMar>
          </w:tcPr>
          <w:p>
            <w:r>
              <w:rPr>
                <w:rFonts w:ascii="Calibri" w:cs="Calibri" w:eastAsia="Calibri" w:hAnsi="Calibri"/>
                <w:sz w:val="18"/>
                <w:szCs w:val="18"/>
              </w:rPr>
              <w:t xml:space="preserve">Human capital is a beta-bearing balance-sheet asset</w:t>
            </w:r>
          </w:p>
        </w:tc>
        <w:tc>
          <w:tcPr>
            <w:tcW w:type="dxa" w:w="1650"/>
            <w:shd w:fill="F4F5F3" w:color="auto" w:val="clear"/>
            <w:tcMar>
              <w:top w:type="dxa" w:w="60"/>
              <w:left w:type="dxa" w:w="110"/>
              <w:bottom w:type="dxa" w:w="60"/>
              <w:right w:type="dxa" w:w="110"/>
            </w:tcMar>
          </w:tcPr>
          <w:p>
            <w:r>
              <w:rPr>
                <w:rFonts w:ascii="Calibri" w:cs="Calibri" w:eastAsia="Calibri" w:hAnsi="Calibri"/>
                <w:b/>
                <w:bCs/>
                <w:color w:val="1E7A4C"/>
                <w:sz w:val="18"/>
                <w:szCs w:val="18"/>
              </w:rPr>
              <w:t xml:space="preserve">Enforced</w:t>
            </w:r>
          </w:p>
        </w:tc>
        <w:tc>
          <w:tcPr>
            <w:tcW w:type="dxa" w:w="4360"/>
            <w:shd w:fill="F4F5F3" w:color="auto" w:val="clear"/>
            <w:tcMar>
              <w:top w:type="dxa" w:w="60"/>
              <w:left w:type="dxa" w:w="110"/>
              <w:bottom w:type="dxa" w:w="60"/>
              <w:right w:type="dxa" w:w="110"/>
            </w:tcMar>
          </w:tcPr>
          <w:p>
            <w:r>
              <w:rPr>
                <w:rFonts w:ascii="Calibri" w:cs="Calibri" w:eastAsia="Calibri" w:hAnsi="Calibri"/>
                <w:sz w:val="18"/>
                <w:szCs w:val="18"/>
              </w:rPr>
              <w:t xml:space="preserve">HC present value × implied beta feeds the total balance sheet and risk capacity.</w:t>
            </w:r>
          </w:p>
        </w:tc>
      </w:tr>
      <w:tr>
        <w:tc>
          <w:tcPr>
            <w:tcW w:type="dxa" w:w="3350"/>
            <w:tcMar>
              <w:top w:type="dxa" w:w="60"/>
              <w:left w:type="dxa" w:w="110"/>
              <w:bottom w:type="dxa" w:w="60"/>
              <w:right w:type="dxa" w:w="110"/>
            </w:tcMar>
          </w:tcPr>
          <w:p>
            <w:r>
              <w:rPr>
                <w:rFonts w:ascii="Calibri" w:cs="Calibri" w:eastAsia="Calibri" w:hAnsi="Calibri"/>
                <w:sz w:val="18"/>
                <w:szCs w:val="18"/>
              </w:rPr>
              <w:t xml:space="preserve">Home equity is not a bond; cannot fund a drawdown</w:t>
            </w:r>
          </w:p>
        </w:tc>
        <w:tc>
          <w:tcPr>
            <w:tcW w:type="dxa" w:w="1650"/>
            <w:tcMar>
              <w:top w:type="dxa" w:w="60"/>
              <w:left w:type="dxa" w:w="110"/>
              <w:bottom w:type="dxa" w:w="60"/>
              <w:right w:type="dxa" w:w="110"/>
            </w:tcMar>
          </w:tcPr>
          <w:p>
            <w:r>
              <w:rPr>
                <w:rFonts w:ascii="Calibri" w:cs="Calibri" w:eastAsia="Calibri" w:hAnsi="Calibri"/>
                <w:b/>
                <w:bCs/>
                <w:color w:val="1E7A4C"/>
                <w:sz w:val="18"/>
                <w:szCs w:val="18"/>
              </w:rPr>
              <w:t xml:space="preserve">Enforced</w:t>
            </w:r>
          </w:p>
        </w:tc>
        <w:tc>
          <w:tcPr>
            <w:tcW w:type="dxa" w:w="4360"/>
            <w:tcMar>
              <w:top w:type="dxa" w:w="60"/>
              <w:left w:type="dxa" w:w="110"/>
              <w:bottom w:type="dxa" w:w="60"/>
              <w:right w:type="dxa" w:w="110"/>
            </w:tcMar>
          </w:tcPr>
          <w:p>
            <w:r>
              <w:rPr>
                <w:rFonts w:ascii="Calibri" w:cs="Calibri" w:eastAsia="Calibri" w:hAnsi="Calibri"/>
                <w:sz w:val="18"/>
                <w:szCs w:val="18"/>
              </w:rPr>
              <w:t xml:space="preserve">homeEquityOffset is hard-zeroed everywhere; counts as equity, offsets no spending.</w:t>
            </w:r>
          </w:p>
        </w:tc>
      </w:tr>
      <w:tr>
        <w:tc>
          <w:tcPr>
            <w:tcW w:type="dxa" w:w="3350"/>
            <w:shd w:fill="F4F5F3" w:color="auto" w:val="clear"/>
            <w:tcMar>
              <w:top w:type="dxa" w:w="60"/>
              <w:left w:type="dxa" w:w="110"/>
              <w:bottom w:type="dxa" w:w="60"/>
              <w:right w:type="dxa" w:w="110"/>
            </w:tcMar>
          </w:tcPr>
          <w:p>
            <w:r>
              <w:rPr>
                <w:rFonts w:ascii="Calibri" w:cs="Calibri" w:eastAsia="Calibri" w:hAnsi="Calibri"/>
                <w:sz w:val="18"/>
                <w:szCs w:val="18"/>
              </w:rPr>
              <w:t xml:space="preserve">Goal flexibility (defer/scale/abandon) beats allocation</w:t>
            </w:r>
          </w:p>
        </w:tc>
        <w:tc>
          <w:tcPr>
            <w:tcW w:type="dxa" w:w="1650"/>
            <w:shd w:fill="F4F5F3" w:color="auto" w:val="clear"/>
            <w:tcMar>
              <w:top w:type="dxa" w:w="60"/>
              <w:left w:type="dxa" w:w="110"/>
              <w:bottom w:type="dxa" w:w="60"/>
              <w:right w:type="dxa" w:w="110"/>
            </w:tcMar>
          </w:tcPr>
          <w:p>
            <w:r>
              <w:rPr>
                <w:rFonts w:ascii="Calibri" w:cs="Calibri" w:eastAsia="Calibri" w:hAnsi="Calibri"/>
                <w:b/>
                <w:bCs/>
                <w:color w:val="B45309"/>
                <w:sz w:val="18"/>
                <w:szCs w:val="18"/>
              </w:rPr>
              <w:t xml:space="preserve">Partial</w:t>
            </w:r>
          </w:p>
        </w:tc>
        <w:tc>
          <w:tcPr>
            <w:tcW w:type="dxa" w:w="4360"/>
            <w:shd w:fill="F4F5F3" w:color="auto" w:val="clear"/>
            <w:tcMar>
              <w:top w:type="dxa" w:w="60"/>
              <w:left w:type="dxa" w:w="110"/>
              <w:bottom w:type="dxa" w:w="60"/>
              <w:right w:type="dxa" w:w="110"/>
            </w:tcMar>
          </w:tcPr>
          <w:p>
            <w:r>
              <w:rPr>
                <w:rFonts w:ascii="Calibri" w:cs="Calibri" w:eastAsia="Calibri" w:hAnsi="Calibri"/>
                <w:sz w:val="18"/>
                <w:szCs w:val="18"/>
              </w:rPr>
              <w:t xml:space="preserve">Defer + scale are folded into the required-return solve; abandon is captured but never used.</w:t>
            </w:r>
          </w:p>
        </w:tc>
      </w:tr>
      <w:tr>
        <w:tc>
          <w:tcPr>
            <w:tcW w:type="dxa" w:w="3350"/>
            <w:tcMar>
              <w:top w:type="dxa" w:w="60"/>
              <w:left w:type="dxa" w:w="110"/>
              <w:bottom w:type="dxa" w:w="60"/>
              <w:right w:type="dxa" w:w="110"/>
            </w:tcMar>
          </w:tcPr>
          <w:p>
            <w:r>
              <w:rPr>
                <w:rFonts w:ascii="Calibri" w:cs="Calibri" w:eastAsia="Calibri" w:hAnsi="Calibri"/>
                <w:sz w:val="18"/>
                <w:szCs w:val="18"/>
              </w:rPr>
              <w:t xml:space="preserve">Tilts are weak-evidence and budgeted</w:t>
            </w:r>
          </w:p>
        </w:tc>
        <w:tc>
          <w:tcPr>
            <w:tcW w:type="dxa" w:w="1650"/>
            <w:tcMar>
              <w:top w:type="dxa" w:w="60"/>
              <w:left w:type="dxa" w:w="110"/>
              <w:bottom w:type="dxa" w:w="60"/>
              <w:right w:type="dxa" w:w="110"/>
            </w:tcMar>
          </w:tcPr>
          <w:p>
            <w:r>
              <w:rPr>
                <w:rFonts w:ascii="Calibri" w:cs="Calibri" w:eastAsia="Calibri" w:hAnsi="Calibri"/>
                <w:b/>
                <w:bCs/>
                <w:color w:val="B45309"/>
                <w:sz w:val="18"/>
                <w:szCs w:val="18"/>
              </w:rPr>
              <w:t xml:space="preserve">Partial</w:t>
            </w:r>
          </w:p>
        </w:tc>
        <w:tc>
          <w:tcPr>
            <w:tcW w:type="dxa" w:w="4360"/>
            <w:tcMar>
              <w:top w:type="dxa" w:w="60"/>
              <w:left w:type="dxa" w:w="110"/>
              <w:bottom w:type="dxa" w:w="60"/>
              <w:right w:type="dxa" w:w="110"/>
            </w:tcMar>
          </w:tcPr>
          <w:p>
            <w:r>
              <w:rPr>
                <w:rFonts w:ascii="Calibri" w:cs="Calibri" w:eastAsia="Calibri" w:hAnsi="Calibri"/>
                <w:sz w:val="18"/>
                <w:szCs w:val="18"/>
              </w:rPr>
              <w:t xml:space="preserve">Deviation caps + mandatory thesis/review are enforced — but on a fictional seeded bet; budget caps are display-only.</w:t>
            </w:r>
          </w:p>
        </w:tc>
      </w:tr>
      <w:tr>
        <w:tc>
          <w:tcPr>
            <w:tcW w:type="dxa" w:w="3350"/>
            <w:shd w:fill="F4F5F3" w:color="auto" w:val="clear"/>
            <w:tcMar>
              <w:top w:type="dxa" w:w="60"/>
              <w:left w:type="dxa" w:w="110"/>
              <w:bottom w:type="dxa" w:w="60"/>
              <w:right w:type="dxa" w:w="110"/>
            </w:tcMar>
          </w:tcPr>
          <w:p>
            <w:r>
              <w:rPr>
                <w:rFonts w:ascii="Calibri" w:cs="Calibri" w:eastAsia="Calibri" w:hAnsi="Calibri"/>
                <w:sz w:val="18"/>
                <w:szCs w:val="18"/>
              </w:rPr>
              <w:t xml:space="preserve">Equity exposure is a joint country×sector matrix (constrain cells)</w:t>
            </w:r>
          </w:p>
        </w:tc>
        <w:tc>
          <w:tcPr>
            <w:tcW w:type="dxa" w:w="1650"/>
            <w:shd w:fill="F4F5F3" w:color="auto" w:val="clear"/>
            <w:tcMar>
              <w:top w:type="dxa" w:w="60"/>
              <w:left w:type="dxa" w:w="110"/>
              <w:bottom w:type="dxa" w:w="60"/>
              <w:right w:type="dxa" w:w="110"/>
            </w:tcMar>
          </w:tcPr>
          <w:p>
            <w:r>
              <w:rPr>
                <w:rFonts w:ascii="Calibri" w:cs="Calibri" w:eastAsia="Calibri" w:hAnsi="Calibri"/>
                <w:b/>
                <w:bCs/>
                <w:color w:val="B42318"/>
                <w:sz w:val="18"/>
                <w:szCs w:val="18"/>
              </w:rPr>
              <w:t xml:space="preserve">Stated only</w:t>
            </w:r>
          </w:p>
        </w:tc>
        <w:tc>
          <w:tcPr>
            <w:tcW w:type="dxa" w:w="4360"/>
            <w:shd w:fill="F4F5F3" w:color="auto" w:val="clear"/>
            <w:tcMar>
              <w:top w:type="dxa" w:w="60"/>
              <w:left w:type="dxa" w:w="110"/>
              <w:bottom w:type="dxa" w:w="60"/>
              <w:right w:type="dxa" w:w="110"/>
            </w:tcMar>
          </w:tcPr>
          <w:p>
            <w:r>
              <w:rPr>
                <w:rFonts w:ascii="Calibri" w:cs="Calibri" w:eastAsia="Calibri" w:hAnsi="Calibri"/>
                <w:sz w:val="18"/>
                <w:szCs w:val="18"/>
              </w:rPr>
              <w:t xml:space="preserve">The most emphatic, least enforced belief. ExposureMatrix is never instantiated; the joint (e.g. semiconductor) bet passes silently.</w:t>
            </w:r>
          </w:p>
        </w:tc>
      </w:tr>
      <w:tr>
        <w:tc>
          <w:tcPr>
            <w:tcW w:type="dxa" w:w="3350"/>
            <w:tcMar>
              <w:top w:type="dxa" w:w="60"/>
              <w:left w:type="dxa" w:w="110"/>
              <w:bottom w:type="dxa" w:w="60"/>
              <w:right w:type="dxa" w:w="110"/>
            </w:tcMar>
          </w:tcPr>
          <w:p>
            <w:r>
              <w:rPr>
                <w:rFonts w:ascii="Calibri" w:cs="Calibri" w:eastAsia="Calibri" w:hAnsi="Calibri"/>
                <w:sz w:val="18"/>
                <w:szCs w:val="18"/>
              </w:rPr>
              <w:t xml:space="preserve">Tax-location is a first-class decision</w:t>
            </w:r>
          </w:p>
        </w:tc>
        <w:tc>
          <w:tcPr>
            <w:tcW w:type="dxa" w:w="1650"/>
            <w:tcMar>
              <w:top w:type="dxa" w:w="60"/>
              <w:left w:type="dxa" w:w="110"/>
              <w:bottom w:type="dxa" w:w="60"/>
              <w:right w:type="dxa" w:w="110"/>
            </w:tcMar>
          </w:tcPr>
          <w:p>
            <w:r>
              <w:rPr>
                <w:rFonts w:ascii="Calibri" w:cs="Calibri" w:eastAsia="Calibri" w:hAnsi="Calibri"/>
                <w:b/>
                <w:bCs/>
                <w:color w:val="B45309"/>
                <w:sz w:val="18"/>
                <w:szCs w:val="18"/>
              </w:rPr>
              <w:t xml:space="preserve">Partial</w:t>
            </w:r>
          </w:p>
        </w:tc>
        <w:tc>
          <w:tcPr>
            <w:tcW w:type="dxa" w:w="4360"/>
            <w:tcMar>
              <w:top w:type="dxa" w:w="60"/>
              <w:left w:type="dxa" w:w="110"/>
              <w:bottom w:type="dxa" w:w="60"/>
              <w:right w:type="dxa" w:w="110"/>
            </w:tcMar>
          </w:tcPr>
          <w:p>
            <w:r>
              <w:rPr>
                <w:rFonts w:ascii="Calibri" w:cs="Calibri" w:eastAsia="Calibri" w:hAnsi="Calibri"/>
                <w:sz w:val="18"/>
                <w:szCs w:val="18"/>
              </w:rPr>
              <w:t xml:space="preserve">Specific hardcoded checks (muni-in-shelter hard, TIPS-in-taxable) fire; there is no general location optimizer.</w:t>
            </w:r>
          </w:p>
        </w:tc>
      </w:tr>
      <w:tr>
        <w:tc>
          <w:tcPr>
            <w:tcW w:type="dxa" w:w="3350"/>
            <w:shd w:fill="F4F5F3" w:color="auto" w:val="clear"/>
            <w:tcMar>
              <w:top w:type="dxa" w:w="60"/>
              <w:left w:type="dxa" w:w="110"/>
              <w:bottom w:type="dxa" w:w="60"/>
              <w:right w:type="dxa" w:w="110"/>
            </w:tcMar>
          </w:tcPr>
          <w:p>
            <w:r>
              <w:rPr>
                <w:rFonts w:ascii="Calibri" w:cs="Calibri" w:eastAsia="Calibri" w:hAnsi="Calibri"/>
                <w:sz w:val="18"/>
                <w:szCs w:val="18"/>
              </w:rPr>
              <w:t xml:space="preserve">Ladder and alternatives sized by function, not a percentage</w:t>
            </w:r>
          </w:p>
        </w:tc>
        <w:tc>
          <w:tcPr>
            <w:tcW w:type="dxa" w:w="1650"/>
            <w:shd w:fill="F4F5F3" w:color="auto" w:val="clear"/>
            <w:tcMar>
              <w:top w:type="dxa" w:w="60"/>
              <w:left w:type="dxa" w:w="110"/>
              <w:bottom w:type="dxa" w:w="60"/>
              <w:right w:type="dxa" w:w="110"/>
            </w:tcMar>
          </w:tcPr>
          <w:p>
            <w:r>
              <w:rPr>
                <w:rFonts w:ascii="Calibri" w:cs="Calibri" w:eastAsia="Calibri" w:hAnsi="Calibri"/>
                <w:b/>
                <w:bCs/>
                <w:color w:val="B45309"/>
                <w:sz w:val="18"/>
                <w:szCs w:val="18"/>
              </w:rPr>
              <w:t xml:space="preserve">Partial</w:t>
            </w:r>
          </w:p>
        </w:tc>
        <w:tc>
          <w:tcPr>
            <w:tcW w:type="dxa" w:w="4360"/>
            <w:shd w:fill="F4F5F3" w:color="auto" w:val="clear"/>
            <w:tcMar>
              <w:top w:type="dxa" w:w="60"/>
              <w:left w:type="dxa" w:w="110"/>
              <w:bottom w:type="dxa" w:w="60"/>
              <w:right w:type="dxa" w:w="110"/>
            </w:tcMar>
          </w:tcPr>
          <w:p>
            <w:r>
              <w:rPr>
                <w:rFonts w:ascii="Calibri" w:cs="Calibri" w:eastAsia="Calibri" w:hAnsi="Calibri"/>
                <w:sz w:val="18"/>
                <w:szCs w:val="18"/>
              </w:rPr>
              <w:t xml:space="preserve">Ladder is truly liability-sized; alternative sizes are still static seeded budgets.</w:t>
            </w:r>
          </w:p>
        </w:tc>
      </w:tr>
      <w:tr>
        <w:tc>
          <w:tcPr>
            <w:tcW w:type="dxa" w:w="3350"/>
            <w:tcMar>
              <w:top w:type="dxa" w:w="60"/>
              <w:left w:type="dxa" w:w="110"/>
              <w:bottom w:type="dxa" w:w="60"/>
              <w:right w:type="dxa" w:w="110"/>
            </w:tcMar>
          </w:tcPr>
          <w:p>
            <w:r>
              <w:rPr>
                <w:rFonts w:ascii="Calibri" w:cs="Calibri" w:eastAsia="Calibri" w:hAnsi="Calibri"/>
                <w:sz w:val="18"/>
                <w:szCs w:val="18"/>
              </w:rPr>
              <w:t xml:space="preserve">Death disposition inverts asset location (IRA → charity)</w:t>
            </w:r>
          </w:p>
        </w:tc>
        <w:tc>
          <w:tcPr>
            <w:tcW w:type="dxa" w:w="1650"/>
            <w:tcMar>
              <w:top w:type="dxa" w:w="60"/>
              <w:left w:type="dxa" w:w="110"/>
              <w:bottom w:type="dxa" w:w="60"/>
              <w:right w:type="dxa" w:w="110"/>
            </w:tcMar>
          </w:tcPr>
          <w:p>
            <w:r>
              <w:rPr>
                <w:rFonts w:ascii="Calibri" w:cs="Calibri" w:eastAsia="Calibri" w:hAnsi="Calibri"/>
                <w:b/>
                <w:bCs/>
                <w:color w:val="1E7A4C"/>
                <w:sz w:val="18"/>
                <w:szCs w:val="18"/>
              </w:rPr>
              <w:t xml:space="preserve">Enforced</w:t>
            </w:r>
          </w:p>
        </w:tc>
        <w:tc>
          <w:tcPr>
            <w:tcW w:type="dxa" w:w="4360"/>
            <w:tcMar>
              <w:top w:type="dxa" w:w="60"/>
              <w:left w:type="dxa" w:w="110"/>
              <w:bottom w:type="dxa" w:w="60"/>
              <w:right w:type="dxa" w:w="110"/>
            </w:tcMar>
          </w:tcPr>
          <w:p>
            <w:r>
              <w:rPr>
                <w:rFonts w:ascii="Calibri" w:cs="Calibri" w:eastAsia="Calibri" w:hAnsi="Calibri"/>
                <w:sz w:val="18"/>
                <w:szCs w:val="18"/>
              </w:rPr>
              <w:t xml:space="preserve">Genuinely wired: hold-to-step-up vs. gift, IRD routed to charity, step-up sale is a hard violation.</w:t>
            </w:r>
          </w:p>
        </w:tc>
      </w:tr>
      <w:tr>
        <w:tc>
          <w:tcPr>
            <w:tcW w:type="dxa" w:w="3350"/>
            <w:shd w:fill="F4F5F3" w:color="auto" w:val="clear"/>
            <w:tcMar>
              <w:top w:type="dxa" w:w="60"/>
              <w:left w:type="dxa" w:w="110"/>
              <w:bottom w:type="dxa" w:w="60"/>
              <w:right w:type="dxa" w:w="110"/>
            </w:tcMar>
          </w:tcPr>
          <w:p>
            <w:r>
              <w:rPr>
                <w:rFonts w:ascii="Calibri" w:cs="Calibri" w:eastAsia="Calibri" w:hAnsi="Calibri"/>
                <w:sz w:val="18"/>
                <w:szCs w:val="18"/>
              </w:rPr>
              <w:t xml:space="preserve">Durable value is tax &amp; structure, not market calls</w:t>
            </w:r>
          </w:p>
        </w:tc>
        <w:tc>
          <w:tcPr>
            <w:tcW w:type="dxa" w:w="1650"/>
            <w:shd w:fill="F4F5F3" w:color="auto" w:val="clear"/>
            <w:tcMar>
              <w:top w:type="dxa" w:w="60"/>
              <w:left w:type="dxa" w:w="110"/>
              <w:bottom w:type="dxa" w:w="60"/>
              <w:right w:type="dxa" w:w="110"/>
            </w:tcMar>
          </w:tcPr>
          <w:p>
            <w:r>
              <w:rPr>
                <w:rFonts w:ascii="Calibri" w:cs="Calibri" w:eastAsia="Calibri" w:hAnsi="Calibri"/>
                <w:b/>
                <w:bCs/>
                <w:color w:val="1E7A4C"/>
                <w:sz w:val="18"/>
                <w:szCs w:val="18"/>
              </w:rPr>
              <w:t xml:space="preserve">Enforced</w:t>
            </w:r>
          </w:p>
        </w:tc>
        <w:tc>
          <w:tcPr>
            <w:tcW w:type="dxa" w:w="4360"/>
            <w:shd w:fill="F4F5F3" w:color="auto" w:val="clear"/>
            <w:tcMar>
              <w:top w:type="dxa" w:w="60"/>
              <w:left w:type="dxa" w:w="110"/>
              <w:bottom w:type="dxa" w:w="60"/>
              <w:right w:type="dxa" w:w="110"/>
            </w:tcMar>
          </w:tcPr>
          <w:p>
            <w:r>
              <w:rPr>
                <w:rFonts w:ascii="Calibri" w:cs="Calibri" w:eastAsia="Calibri" w:hAnsi="Calibri"/>
                <w:sz w:val="18"/>
                <w:szCs w:val="18"/>
              </w:rPr>
              <w:t xml:space="preserve">Emergent from the balance of what is built — the substantive engines are all tax/structure.</w:t>
            </w:r>
          </w:p>
        </w:tc>
      </w:tr>
    </w:tbl>
    <w:p>
      <w:r>
        <w:br w:type="page"/>
      </w:r>
    </w:p>
    <w:p>
      <w:pPr>
        <w:pStyle w:val="Heading1"/>
        <w:spacing w:after="120" w:before="300"/>
      </w:pPr>
      <w:r>
        <w:rPr>
          <w:rFonts w:ascii="Calibri" w:cs="Calibri" w:eastAsia="Calibri" w:hAnsi="Calibri"/>
          <w:b/>
          <w:bCs/>
          <w:color w:val="1F2A37"/>
          <w:sz w:val="30"/>
          <w:szCs w:val="30"/>
        </w:rPr>
        <w:t xml:space="preserve">3.  The two flagship claims that are false</w:t>
      </w:r>
    </w:p>
    <w:p>
      <w:pPr>
        <w:pStyle w:val="Heading2"/>
        <w:spacing w:after="80" w:before="200"/>
      </w:pPr>
      <w:r>
        <w:rPr>
          <w:rFonts w:ascii="Calibri" w:cs="Calibri" w:eastAsia="Calibri" w:hAnsi="Calibri"/>
          <w:b/>
          <w:bCs/>
          <w:color w:val="2F6F5E"/>
          <w:sz w:val="24"/>
          <w:szCs w:val="24"/>
        </w:rPr>
        <w:t xml:space="preserve">“Allocation is an output”</w:t>
      </w:r>
    </w:p>
    <w:p>
      <w:pPr>
        <w:spacing w:after="120" w:line="276"/>
      </w:pPr>
      <w:r>
        <w:rPr>
          <w:rFonts w:ascii="Calibri" w:cs="Calibri" w:eastAsia="Calibri" w:hAnsi="Calibri"/>
        </w:rPr>
        <w:t xml:space="preserve">False for the sleeve percentages. The target is a fixed seed — a conventional ~80/20 policy with rebalance bands, identical for a $500k pre-retiree and a $50M family office. The engine’s own comment is candid (“the equity/FI split that looks like an allocation”); the UI and teaching copy drop the scare quotes. The flagship lesson — “change a goal’s amount and watch Required Return and Allocation move together” — is literally false: the allocation bars never move.</w:t>
      </w:r>
    </w:p>
    <w:p>
      <w:pPr>
        <w:pStyle w:val="Heading2"/>
        <w:spacing w:after="80" w:before="200"/>
      </w:pPr>
      <w:r>
        <w:rPr>
          <w:rFonts w:ascii="Calibri" w:cs="Calibri" w:eastAsia="Calibri" w:hAnsi="Calibri"/>
          <w:b/>
          <w:bCs/>
          <w:color w:val="2F6F5E"/>
          <w:sz w:val="24"/>
          <w:szCs w:val="24"/>
        </w:rPr>
        <w:t xml:space="preserve">“Risk = shortfall probability, not volatility”</w:t>
      </w:r>
    </w:p>
    <w:p>
      <w:pPr>
        <w:spacing w:after="120" w:line="276"/>
      </w:pPr>
      <w:r>
        <w:rPr>
          <w:rFonts w:ascii="Calibri" w:cs="Calibri" w:eastAsia="Calibri" w:hAnsi="Calibri"/>
        </w:rPr>
        <w:t xml:space="preserve">Also false. The shortfall tolerance on every goal is never read, and no shortfall probability is ever computed. The live binding risk metric is a max-drawdown ceiling — a volatility/loss-magnitude proxy, the exact inverse of the stated doctrine.</w:t>
      </w:r>
    </w:p>
    <w:p>
      <w:pPr>
        <w:pStyle w:val="Heading1"/>
        <w:spacing w:after="120" w:before="300"/>
      </w:pPr>
      <w:r>
        <w:rPr>
          <w:rFonts w:ascii="Calibri" w:cs="Calibri" w:eastAsia="Calibri" w:hAnsi="Calibri"/>
          <w:b/>
          <w:bCs/>
          <w:color w:val="1F2A37"/>
          <w:sz w:val="30"/>
          <w:szCs w:val="30"/>
        </w:rPr>
        <w:t xml:space="preserve">4.  Dormant scaffolding that reads as shipped</w:t>
      </w:r>
    </w:p>
    <w:p>
      <w:pPr>
        <w:spacing w:after="120" w:line="276"/>
      </w:pPr>
      <w:r>
        <w:rPr>
          <w:rFonts w:ascii="Calibri" w:cs="Calibri" w:eastAsia="Calibri" w:hAnsi="Calibri"/>
        </w:rPr>
        <w:t xml:space="preserve">Richly typed, seeded, advertised in doc comments — enforced by zero code:</w:t>
      </w:r>
    </w:p>
    <w:p>
      <w:pPr>
        <w:pStyle w:val="ListParagraph"/>
        <w:numPr>
          <w:ilvl w:val="0"/>
          <w:numId w:val="2"/>
        </w:numPr>
        <w:spacing w:after="80" w:line="272"/>
      </w:pPr>
      <w:r>
        <w:rPr>
          <w:rFonts w:ascii="Calibri" w:cs="Calibri" w:eastAsia="Calibri" w:hAnsi="Calibri"/>
          <w:b/>
          <w:bCs/>
        </w:rPr>
        <w:t xml:space="preserve">The country×sector exposure matrix. </w:t>
      </w:r>
      <w:r>
        <w:rPr>
          <w:rFonts w:ascii="Calibri" w:cs="Calibri" w:eastAsia="Calibri" w:hAnsi="Calibri"/>
        </w:rPr>
        <w:t xml:space="preserve">The module’s whole reason for being (“only cell constraints catch a joint semiconductor bet”) is enforced by nothing. Worse, all 11 sector SPDRs share one sleeve, so a tech overweight stacked on the S&amp;P’s embedded tech is uncounted.</w:t>
      </w:r>
    </w:p>
    <w:p>
      <w:pPr>
        <w:pStyle w:val="ListParagraph"/>
        <w:numPr>
          <w:ilvl w:val="0"/>
          <w:numId w:val="2"/>
        </w:numPr>
        <w:spacing w:after="80" w:line="272"/>
      </w:pPr>
      <w:r>
        <w:rPr>
          <w:rFonts w:ascii="Calibri" w:cs="Calibri" w:eastAsia="Calibri" w:hAnsi="Calibri"/>
          <w:b/>
          <w:bCs/>
        </w:rPr>
        <w:t xml:space="preserve">The rebalance-to-policy generator. </w:t>
      </w:r>
      <w:r>
        <w:rPr>
          <w:rFonts w:ascii="Calibri" w:cs="Calibri" w:eastAsia="Calibri" w:hAnsi="Calibri"/>
        </w:rPr>
        <w:t xml:space="preserve">Does not exist. Seven of eight RebalancePolicy fields are set-but-unread; the “mandatory correction / what a rebalance would close” copy promises an action the engine never computes.</w:t>
      </w:r>
    </w:p>
    <w:p>
      <w:pPr>
        <w:pStyle w:val="ListParagraph"/>
        <w:numPr>
          <w:ilvl w:val="0"/>
          <w:numId w:val="2"/>
        </w:numPr>
        <w:spacing w:after="80" w:line="272"/>
      </w:pPr>
      <w:r>
        <w:rPr>
          <w:rFonts w:ascii="Calibri" w:cs="Calibri" w:eastAsia="Calibri" w:hAnsi="Calibri"/>
          <w:b/>
          <w:bCs/>
        </w:rPr>
        <w:t xml:space="preserve">The ratcheting CAPE glide path. </w:t>
      </w:r>
      <w:r>
        <w:rPr>
          <w:rFonts w:ascii="Calibri" w:cs="Calibri" w:eastAsia="Calibri" w:hAnsi="Calibri"/>
        </w:rPr>
        <w:t xml:space="preserve">The entire reason a separate “spending” policy exists — 100% dormant; the only live difference between the two policies is whether the ladder turns on.</w:t>
      </w:r>
    </w:p>
    <w:p>
      <w:pPr>
        <w:pStyle w:val="ListParagraph"/>
        <w:numPr>
          <w:ilvl w:val="0"/>
          <w:numId w:val="2"/>
        </w:numPr>
        <w:spacing w:after="80" w:line="272"/>
      </w:pPr>
      <w:r>
        <w:rPr>
          <w:rFonts w:ascii="Calibri" w:cs="Calibri" w:eastAsia="Calibri" w:hAnsi="Calibri"/>
          <w:b/>
          <w:bCs/>
        </w:rPr>
        <w:t xml:space="preserve">Per-household tilts. </w:t>
      </w:r>
      <w:r>
        <w:rPr>
          <w:rFonts w:ascii="Calibri" w:cs="Calibri" w:eastAsia="Calibri" w:hAnsi="Calibri"/>
        </w:rPr>
        <w:t xml:space="preserve">The Tilts tab and validateTilts police a fictional seeded energy bet for every client, while the sample actually holds tech — and the Planning-tab rotations never become Tilt objects, so they bypass all governance.</w:t>
      </w:r>
    </w:p>
    <w:p>
      <w:pPr>
        <w:pStyle w:val="ListParagraph"/>
        <w:numPr>
          <w:ilvl w:val="0"/>
          <w:numId w:val="2"/>
        </w:numPr>
        <w:spacing w:after="80" w:line="272"/>
      </w:pPr>
      <w:r>
        <w:rPr>
          <w:rFonts w:ascii="Calibri" w:cs="Calibri" w:eastAsia="Calibri" w:hAnsi="Calibri"/>
          <w:b/>
          <w:bCs/>
        </w:rPr>
        <w:t xml:space="preserve">Declared-never-built engine functions: </w:t>
      </w:r>
      <w:r>
        <w:rPr>
          <w:rFonts w:ascii="Calibri" w:cs="Calibri" w:eastAsia="Calibri" w:hAnsi="Calibri"/>
        </w:rPr>
        <w:t xml:space="preserve">resolveTargets, validateMatrix, evaluateTactical, computeRoundTripCost — named in the header, never implemented.</w:t>
      </w:r>
    </w:p>
    <w:p>
      <w:pPr>
        <w:pStyle w:val="Heading1"/>
        <w:spacing w:after="120" w:before="300"/>
      </w:pPr>
      <w:r>
        <w:rPr>
          <w:rFonts w:ascii="Calibri" w:cs="Calibri" w:eastAsia="Calibri" w:hAnsi="Calibri"/>
          <w:b/>
          <w:bCs/>
          <w:color w:val="1F2A37"/>
          <w:sz w:val="30"/>
          <w:szCs w:val="30"/>
        </w:rPr>
        <w:t xml:space="preserve">5.  What is genuinely decision-grade</w:t>
      </w:r>
    </w:p>
    <w:p>
      <w:pPr>
        <w:spacing w:after="120" w:line="276"/>
      </w:pPr>
      <w:r>
        <w:rPr>
          <w:rFonts w:ascii="Calibri" w:cs="Calibri" w:eastAsia="Calibri" w:hAnsi="Calibri"/>
        </w:rPr>
        <w:t xml:space="preserve">The substantive heart is real and consistently applied:</w:t>
      </w:r>
    </w:p>
    <w:p>
      <w:pPr>
        <w:pStyle w:val="ListParagraph"/>
        <w:numPr>
          <w:ilvl w:val="0"/>
          <w:numId w:val="2"/>
        </w:numPr>
        <w:spacing w:after="80" w:line="272"/>
      </w:pPr>
      <w:r>
        <w:rPr>
          <w:rFonts w:ascii="Calibri" w:cs="Calibri" w:eastAsia="Calibri" w:hAnsi="Calibri"/>
          <w:b/>
          <w:bCs/>
        </w:rPr>
        <w:t xml:space="preserve">The bond ladder &amp; liquidity floor</w:t>
      </w:r>
      <w:r>
        <w:rPr>
          <w:rFonts w:ascii="Calibri" w:cs="Calibri" w:eastAsia="Calibri" w:hAnsi="Calibri"/>
        </w:rPr>
        <w:t xml:space="preserve"> — the one place “allocation is an output” is literally true: sized to net outflows − SS − pension, bound by a hard liquidity floor.</w:t>
      </w:r>
    </w:p>
    <w:p>
      <w:pPr>
        <w:pStyle w:val="ListParagraph"/>
        <w:numPr>
          <w:ilvl w:val="0"/>
          <w:numId w:val="2"/>
        </w:numPr>
        <w:spacing w:after="80" w:line="272"/>
      </w:pPr>
      <w:r>
        <w:rPr>
          <w:rFonts w:ascii="Calibri" w:cs="Calibri" w:eastAsia="Calibri" w:hAnsi="Calibri"/>
          <w:b/>
          <w:bCs/>
        </w:rPr>
        <w:t xml:space="preserve">The required-return / funded-ratio solve</w:t>
      </w:r>
      <w:r>
        <w:rPr>
          <w:rFonts w:ascii="Calibri" w:cs="Calibri" w:eastAsia="Calibri" w:hAnsi="Calibri"/>
        </w:rPr>
        <w:t xml:space="preserve"> — a real deterministic engine with defer + scale flexibility and a legacy-floor terminal target.</w:t>
      </w:r>
    </w:p>
    <w:p>
      <w:pPr>
        <w:pStyle w:val="ListParagraph"/>
        <w:numPr>
          <w:ilvl w:val="0"/>
          <w:numId w:val="2"/>
        </w:numPr>
        <w:spacing w:after="80" w:line="272"/>
      </w:pPr>
      <w:r>
        <w:rPr>
          <w:rFonts w:ascii="Calibri" w:cs="Calibri" w:eastAsia="Calibri" w:hAnsi="Calibri"/>
          <w:b/>
          <w:bCs/>
        </w:rPr>
        <w:t xml:space="preserve">Capacity vs. tolerance, bound to the lower</w:t>
      </w:r>
      <w:r>
        <w:rPr>
          <w:rFonts w:ascii="Calibri" w:cs="Calibri" w:eastAsia="Calibri" w:hAnsi="Calibri"/>
        </w:rPr>
        <w:t xml:space="preserve"> — a real binding check, not just a number.</w:t>
      </w:r>
    </w:p>
    <w:p>
      <w:pPr>
        <w:pStyle w:val="ListParagraph"/>
        <w:numPr>
          <w:ilvl w:val="0"/>
          <w:numId w:val="2"/>
        </w:numPr>
        <w:spacing w:after="80" w:line="272"/>
      </w:pPr>
      <w:r>
        <w:rPr>
          <w:rFonts w:ascii="Calibri" w:cs="Calibri" w:eastAsia="Calibri" w:hAnsi="Calibri"/>
          <w:b/>
          <w:bCs/>
        </w:rPr>
        <w:t xml:space="preserve">Human capital and home-equity treatment</w:t>
      </w:r>
      <w:r>
        <w:rPr>
          <w:rFonts w:ascii="Calibri" w:cs="Calibri" w:eastAsia="Calibri" w:hAnsi="Calibri"/>
        </w:rPr>
        <w:t xml:space="preserve"> — enforced by construction across every downstream calculation.</w:t>
      </w:r>
    </w:p>
    <w:p>
      <w:pPr>
        <w:pStyle w:val="ListParagraph"/>
        <w:numPr>
          <w:ilvl w:val="0"/>
          <w:numId w:val="2"/>
        </w:numPr>
        <w:spacing w:after="80" w:line="272"/>
      </w:pPr>
      <w:r>
        <w:rPr>
          <w:rFonts w:ascii="Calibri" w:cs="Calibri" w:eastAsia="Calibri" w:hAnsi="Calibri"/>
          <w:b/>
          <w:bCs/>
        </w:rPr>
        <w:t xml:space="preserve">The tax / structure core</w:t>
      </w:r>
      <w:r>
        <w:rPr>
          <w:rFonts w:ascii="Calibri" w:cs="Calibri" w:eastAsia="Calibri" w:hAnsi="Calibri"/>
        </w:rPr>
        <w:t xml:space="preserve"> — after-tax two-pass required return, decumulation (RMD, SS taxation, LTCG stacking, NIIT, IRMAA, Roth-conversion optimizer), SALT/itemization, muni crossover, death-disposition inversion. This is the decision-grade heart of the app.</w:t>
      </w:r>
    </w:p>
    <w:p>
      <w:pPr>
        <w:pStyle w:val="ListParagraph"/>
        <w:numPr>
          <w:ilvl w:val="0"/>
          <w:numId w:val="2"/>
        </w:numPr>
        <w:spacing w:after="80" w:line="272"/>
      </w:pPr>
      <w:r>
        <w:rPr>
          <w:rFonts w:ascii="Calibri" w:cs="Calibri" w:eastAsia="Calibri" w:hAnsi="Calibri"/>
          <w:b/>
          <w:bCs/>
        </w:rPr>
        <w:t xml:space="preserve">Alternatives wrapper selection</w:t>
      </w:r>
      <w:r>
        <w:rPr>
          <w:rFonts w:ascii="Calibri" w:cs="Calibri" w:eastAsia="Calibri" w:hAnsi="Calibri"/>
        </w:rPr>
        <w:t xml:space="preserve"> and the de-circularized top-line equity/FI drift.</w:t>
      </w:r>
    </w:p>
    <w:p>
      <w:r>
        <w:br w:type="page"/>
      </w:r>
    </w:p>
    <w:p>
      <w:pPr>
        <w:pStyle w:val="Heading1"/>
        <w:spacing w:after="120" w:before="300"/>
      </w:pPr>
      <w:r>
        <w:rPr>
          <w:rFonts w:ascii="Calibri" w:cs="Calibri" w:eastAsia="Calibri" w:hAnsi="Calibri"/>
          <w:b/>
          <w:bCs/>
          <w:color w:val="1F2A37"/>
          <w:sz w:val="30"/>
          <w:szCs w:val="30"/>
        </w:rPr>
        <w:t xml:space="preserve">6.  Recommended paths forward</w:t>
      </w:r>
    </w:p>
    <w:p>
      <w:pPr>
        <w:spacing w:after="120" w:line="276"/>
      </w:pPr>
      <w:r>
        <w:rPr>
          <w:rFonts w:ascii="Calibri" w:cs="Calibri" w:eastAsia="Calibri" w:hAnsi="Calibri"/>
        </w:rPr>
        <w:t xml:space="preserve">Ranked by leverage. Every path below is downstream of the same root fact: the sleeve target is currently a constant.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rPr>
          <w:tblHeader/>
        </w:trPr>
        <w:tc>
          <w:tcPr>
            <w:tcW w:type="dxa" w:w="3000"/>
            <w:shd w:fill="1F2A37" w:color="auto" w:val="clear"/>
            <w:tcMar>
              <w:top w:type="dxa" w:w="60"/>
              <w:left w:type="dxa" w:w="110"/>
              <w:bottom w:type="dxa" w:w="60"/>
              <w:right w:type="dxa" w:w="110"/>
            </w:tcMar>
          </w:tcPr>
          <w:p>
            <w:r>
              <w:rPr>
                <w:rFonts w:ascii="Calibri" w:cs="Calibri" w:eastAsia="Calibri" w:hAnsi="Calibri"/>
                <w:b/>
                <w:bCs/>
                <w:color w:val="FFFFFF"/>
                <w:sz w:val="19"/>
                <w:szCs w:val="19"/>
              </w:rPr>
              <w:t xml:space="preserve">Path</w:t>
            </w:r>
          </w:p>
        </w:tc>
        <w:tc>
          <w:tcPr>
            <w:tcW w:type="dxa" w:w="1500"/>
            <w:shd w:fill="1F2A37" w:color="auto" w:val="clear"/>
            <w:tcMar>
              <w:top w:type="dxa" w:w="60"/>
              <w:left w:type="dxa" w:w="110"/>
              <w:bottom w:type="dxa" w:w="60"/>
              <w:right w:type="dxa" w:w="110"/>
            </w:tcMar>
          </w:tcPr>
          <w:p>
            <w:r>
              <w:rPr>
                <w:rFonts w:ascii="Calibri" w:cs="Calibri" w:eastAsia="Calibri" w:hAnsi="Calibri"/>
                <w:b/>
                <w:bCs/>
                <w:color w:val="FFFFFF"/>
                <w:sz w:val="19"/>
                <w:szCs w:val="19"/>
              </w:rPr>
              <w:t xml:space="preserve">Effort</w:t>
            </w:r>
          </w:p>
        </w:tc>
        <w:tc>
          <w:tcPr>
            <w:tcW w:type="dxa" w:w="4860"/>
            <w:shd w:fill="1F2A37" w:color="auto" w:val="clear"/>
            <w:tcMar>
              <w:top w:type="dxa" w:w="60"/>
              <w:left w:type="dxa" w:w="110"/>
              <w:bottom w:type="dxa" w:w="60"/>
              <w:right w:type="dxa" w:w="110"/>
            </w:tcMar>
          </w:tcPr>
          <w:p>
            <w:r>
              <w:rPr>
                <w:rFonts w:ascii="Calibri" w:cs="Calibri" w:eastAsia="Calibri" w:hAnsi="Calibri"/>
                <w:b/>
                <w:bCs/>
                <w:color w:val="FFFFFF"/>
                <w:sz w:val="19"/>
                <w:szCs w:val="19"/>
              </w:rPr>
              <w:t xml:space="preserve">Why it matters</w:t>
            </w:r>
          </w:p>
        </w:tc>
      </w:tr>
      <w:tr>
        <w:tc>
          <w:tcPr>
            <w:tcW w:type="dxa" w:w="3000"/>
            <w:tcMar>
              <w:top w:type="dxa" w:w="60"/>
              <w:left w:type="dxa" w:w="110"/>
              <w:bottom w:type="dxa" w:w="60"/>
              <w:right w:type="dxa" w:w="110"/>
            </w:tcMar>
          </w:tcPr>
          <w:p>
            <w:r>
              <w:rPr>
                <w:rFonts w:ascii="Calibri" w:cs="Calibri" w:eastAsia="Calibri" w:hAnsi="Calibri"/>
                <w:b/>
                <w:bCs/>
                <w:sz w:val="18"/>
                <w:szCs w:val="18"/>
              </w:rPr>
              <w:t xml:space="preserve">Build the target solver — resolveTargets(household)</w:t>
            </w:r>
          </w:p>
        </w:tc>
        <w:tc>
          <w:tcPr>
            <w:tcW w:type="dxa" w:w="1500"/>
            <w:tcMar>
              <w:top w:type="dxa" w:w="60"/>
              <w:left w:type="dxa" w:w="110"/>
              <w:bottom w:type="dxa" w:w="60"/>
              <w:right w:type="dxa" w:w="110"/>
            </w:tcMar>
          </w:tcPr>
          <w:p>
            <w:r>
              <w:rPr>
                <w:rFonts w:ascii="Calibri" w:cs="Calibri" w:eastAsia="Calibri" w:hAnsi="Calibri"/>
                <w:color w:val="6B7280"/>
                <w:sz w:val="18"/>
                <w:szCs w:val="18"/>
              </w:rPr>
              <w:t xml:space="preserve">Large</w:t>
            </w:r>
          </w:p>
        </w:tc>
        <w:tc>
          <w:tcPr>
            <w:tcW w:type="dxa" w:w="4860"/>
            <w:tcMar>
              <w:top w:type="dxa" w:w="60"/>
              <w:left w:type="dxa" w:w="110"/>
              <w:bottom w:type="dxa" w:w="60"/>
              <w:right w:type="dxa" w:w="110"/>
            </w:tcMar>
          </w:tcPr>
          <w:p>
            <w:r>
              <w:rPr>
                <w:rFonts w:ascii="Calibri" w:cs="Calibri" w:eastAsia="Calibri" w:hAnsi="Calibri"/>
                <w:sz w:val="18"/>
                <w:szCs w:val="18"/>
              </w:rPr>
              <w:t xml:space="preserve">The single highest-leverage fix. Makes sleeve weights a live function of required return, funded ratio, liability duration, and the equity ceiling the risk engine already computes. Converts the loudest claim from narrative to fact and makes the flagship teaching lesson true. No plumbing rewrite — the architecture already parameterizes on policy; the work is the modeling.</w:t>
            </w:r>
          </w:p>
        </w:tc>
      </w:tr>
      <w:tr>
        <w:tc>
          <w:tcPr>
            <w:tcW w:type="dxa" w:w="3000"/>
            <w:shd w:fill="F4F5F3" w:color="auto" w:val="clear"/>
            <w:tcMar>
              <w:top w:type="dxa" w:w="60"/>
              <w:left w:type="dxa" w:w="110"/>
              <w:bottom w:type="dxa" w:w="60"/>
              <w:right w:type="dxa" w:w="110"/>
            </w:tcMar>
          </w:tcPr>
          <w:p>
            <w:r>
              <w:rPr>
                <w:rFonts w:ascii="Calibri" w:cs="Calibri" w:eastAsia="Calibri" w:hAnsi="Calibri"/>
                <w:b w:val="false"/>
                <w:bCs w:val="false"/>
                <w:sz w:val="18"/>
                <w:szCs w:val="18"/>
              </w:rPr>
              <w:t xml:space="preserve">FI sleeve target = the ladder share</w:t>
            </w:r>
          </w:p>
        </w:tc>
        <w:tc>
          <w:tcPr>
            <w:tcW w:type="dxa" w:w="1500"/>
            <w:shd w:fill="F4F5F3" w:color="auto" w:val="clear"/>
            <w:tcMar>
              <w:top w:type="dxa" w:w="60"/>
              <w:left w:type="dxa" w:w="110"/>
              <w:bottom w:type="dxa" w:w="60"/>
              <w:right w:type="dxa" w:w="110"/>
            </w:tcMar>
          </w:tcPr>
          <w:p>
            <w:r>
              <w:rPr>
                <w:rFonts w:ascii="Calibri" w:cs="Calibri" w:eastAsia="Calibri" w:hAnsi="Calibri"/>
                <w:color w:val="6B7280"/>
                <w:sz w:val="18"/>
                <w:szCs w:val="18"/>
              </w:rPr>
              <w:t xml:space="preserve">Small–Med</w:t>
            </w:r>
          </w:p>
        </w:tc>
        <w:tc>
          <w:tcPr>
            <w:tcW w:type="dxa" w:w="4860"/>
            <w:shd w:fill="F4F5F3" w:color="auto" w:val="clear"/>
            <w:tcMar>
              <w:top w:type="dxa" w:w="60"/>
              <w:left w:type="dxa" w:w="110"/>
              <w:bottom w:type="dxa" w:w="60"/>
              <w:right w:type="dxa" w:w="110"/>
            </w:tcMar>
          </w:tcPr>
          <w:p>
            <w:r>
              <w:rPr>
                <w:rFonts w:ascii="Calibri" w:cs="Calibri" w:eastAsia="Calibri" w:hAnsi="Calibri"/>
                <w:sz w:val="18"/>
                <w:szCs w:val="18"/>
              </w:rPr>
              <w:t xml:space="preserve">Replaces the static 16% FI target with the ladder + reserve + floor requirement expressed as a share, so the sleeve stops contradicting its own “not a target percentage” rationale. An incremental proof of the residue principle before the full solver.</w:t>
            </w:r>
          </w:p>
        </w:tc>
      </w:tr>
      <w:tr>
        <w:tc>
          <w:tcPr>
            <w:tcW w:type="dxa" w:w="3000"/>
            <w:tcMar>
              <w:top w:type="dxa" w:w="60"/>
              <w:left w:type="dxa" w:w="110"/>
              <w:bottom w:type="dxa" w:w="60"/>
              <w:right w:type="dxa" w:w="110"/>
            </w:tcMar>
          </w:tcPr>
          <w:p>
            <w:r>
              <w:rPr>
                <w:rFonts w:ascii="Calibri" w:cs="Calibri" w:eastAsia="Calibri" w:hAnsi="Calibri"/>
                <w:b w:val="false"/>
                <w:bCs w:val="false"/>
                <w:sz w:val="18"/>
                <w:szCs w:val="18"/>
              </w:rPr>
              <w:t xml:space="preserve">Fix the synthesis mismatch</w:t>
            </w:r>
          </w:p>
        </w:tc>
        <w:tc>
          <w:tcPr>
            <w:tcW w:type="dxa" w:w="1500"/>
            <w:tcMar>
              <w:top w:type="dxa" w:w="60"/>
              <w:left w:type="dxa" w:w="110"/>
              <w:bottom w:type="dxa" w:w="60"/>
              <w:right w:type="dxa" w:w="110"/>
            </w:tcMar>
          </w:tcPr>
          <w:p>
            <w:r>
              <w:rPr>
                <w:rFonts w:ascii="Calibri" w:cs="Calibri" w:eastAsia="Calibri" w:hAnsi="Calibri"/>
                <w:color w:val="6B7280"/>
                <w:sz w:val="18"/>
                <w:szCs w:val="18"/>
              </w:rPr>
              <w:t xml:space="preserve">Medium</w:t>
            </w:r>
          </w:p>
        </w:tc>
        <w:tc>
          <w:tcPr>
            <w:tcW w:type="dxa" w:w="4860"/>
            <w:tcMar>
              <w:top w:type="dxa" w:w="60"/>
              <w:left w:type="dxa" w:w="110"/>
              <w:bottom w:type="dxa" w:w="60"/>
              <w:right w:type="dxa" w:w="110"/>
            </w:tcMar>
          </w:tcPr>
          <w:p>
            <w:r>
              <w:rPr>
                <w:rFonts w:ascii="Calibri" w:cs="Calibri" w:eastAsia="Calibri" w:hAnsi="Calibri"/>
                <w:sz w:val="18"/>
                <w:szCs w:val="18"/>
              </w:rPr>
              <w:t xml:space="preserve">Have synthesis emit an alternatives share and stop shaping sub-sleeves to the target, so current sums to 100% against 100% of target. Until then, per-sleeve drift is an artifact and the tab can’t be read as a rebalance surface.</w:t>
            </w:r>
          </w:p>
        </w:tc>
      </w:tr>
      <w:tr>
        <w:tc>
          <w:tcPr>
            <w:tcW w:type="dxa" w:w="3000"/>
            <w:shd w:fill="F4F5F3" w:color="auto" w:val="clear"/>
            <w:tcMar>
              <w:top w:type="dxa" w:w="60"/>
              <w:left w:type="dxa" w:w="110"/>
              <w:bottom w:type="dxa" w:w="60"/>
              <w:right w:type="dxa" w:w="110"/>
            </w:tcMar>
          </w:tcPr>
          <w:p>
            <w:r>
              <w:rPr>
                <w:rFonts w:ascii="Calibri" w:cs="Calibri" w:eastAsia="Calibri" w:hAnsi="Calibri"/>
                <w:b w:val="false"/>
                <w:bCs w:val="false"/>
                <w:sz w:val="18"/>
                <w:szCs w:val="18"/>
              </w:rPr>
              <w:t xml:space="preserve">Wire Planning-tab rotations into per-household tilts</w:t>
            </w:r>
          </w:p>
        </w:tc>
        <w:tc>
          <w:tcPr>
            <w:tcW w:type="dxa" w:w="1500"/>
            <w:shd w:fill="F4F5F3" w:color="auto" w:val="clear"/>
            <w:tcMar>
              <w:top w:type="dxa" w:w="60"/>
              <w:left w:type="dxa" w:w="110"/>
              <w:bottom w:type="dxa" w:w="60"/>
              <w:right w:type="dxa" w:w="110"/>
            </w:tcMar>
          </w:tcPr>
          <w:p>
            <w:r>
              <w:rPr>
                <w:rFonts w:ascii="Calibri" w:cs="Calibri" w:eastAsia="Calibri" w:hAnsi="Calibri"/>
                <w:color w:val="6B7280"/>
                <w:sz w:val="18"/>
                <w:szCs w:val="18"/>
              </w:rPr>
              <w:t xml:space="preserve">Medium</w:t>
            </w:r>
          </w:p>
        </w:tc>
        <w:tc>
          <w:tcPr>
            <w:tcW w:type="dxa" w:w="4860"/>
            <w:shd w:fill="F4F5F3" w:color="auto" w:val="clear"/>
            <w:tcMar>
              <w:top w:type="dxa" w:w="60"/>
              <w:left w:type="dxa" w:w="110"/>
              <w:bottom w:type="dxa" w:w="60"/>
              <w:right w:type="dxa" w:w="110"/>
            </w:tcMar>
          </w:tcPr>
          <w:p>
            <w:r>
              <w:rPr>
                <w:rFonts w:ascii="Calibri" w:cs="Calibri" w:eastAsia="Calibri" w:hAnsi="Calibri"/>
                <w:sz w:val="18"/>
                <w:szCs w:val="18"/>
              </w:rPr>
              <w:t xml:space="preserve">Convert committed rotations to Tilt objects hung off the household and feed those to validateTilts and the Tilts tab. Ends the split-brain where governance polices a bet no client holds.</w:t>
            </w:r>
          </w:p>
        </w:tc>
      </w:tr>
      <w:tr>
        <w:tc>
          <w:tcPr>
            <w:tcW w:type="dxa" w:w="3000"/>
            <w:tcMar>
              <w:top w:type="dxa" w:w="60"/>
              <w:left w:type="dxa" w:w="110"/>
              <w:bottom w:type="dxa" w:w="60"/>
              <w:right w:type="dxa" w:w="110"/>
            </w:tcMar>
          </w:tcPr>
          <w:p>
            <w:r>
              <w:rPr>
                <w:rFonts w:ascii="Calibri" w:cs="Calibri" w:eastAsia="Calibri" w:hAnsi="Calibri"/>
                <w:b w:val="false"/>
                <w:bCs w:val="false"/>
                <w:sz w:val="18"/>
                <w:szCs w:val="18"/>
              </w:rPr>
              <w:t xml:space="preserve">Look-through matrix + evaluateMatrix()</w:t>
            </w:r>
          </w:p>
        </w:tc>
        <w:tc>
          <w:tcPr>
            <w:tcW w:type="dxa" w:w="1500"/>
            <w:tcMar>
              <w:top w:type="dxa" w:w="60"/>
              <w:left w:type="dxa" w:w="110"/>
              <w:bottom w:type="dxa" w:w="60"/>
              <w:right w:type="dxa" w:w="110"/>
            </w:tcMar>
          </w:tcPr>
          <w:p>
            <w:r>
              <w:rPr>
                <w:rFonts w:ascii="Calibri" w:cs="Calibri" w:eastAsia="Calibri" w:hAnsi="Calibri"/>
                <w:color w:val="6B7280"/>
                <w:sz w:val="18"/>
                <w:szCs w:val="18"/>
              </w:rPr>
              <w:t xml:space="preserve">Large</w:t>
            </w:r>
          </w:p>
        </w:tc>
        <w:tc>
          <w:tcPr>
            <w:tcW w:type="dxa" w:w="4860"/>
            <w:tcMar>
              <w:top w:type="dxa" w:w="60"/>
              <w:left w:type="dxa" w:w="110"/>
              <w:bottom w:type="dxa" w:w="60"/>
              <w:right w:type="dxa" w:w="110"/>
            </w:tcMar>
          </w:tcPr>
          <w:p>
            <w:r>
              <w:rPr>
                <w:rFonts w:ascii="Calibri" w:cs="Calibri" w:eastAsia="Calibri" w:hAnsi="Calibri"/>
                <w:sz w:val="18"/>
                <w:szCs w:val="18"/>
              </w:rPr>
              <w:t xml:space="preserve">Decompose funds to sector/country weights and evaluate against the already-seeded cell constraints. Converts the most emphatic dormant belief into a real check. Hardest part is a fund→weights source.</w:t>
            </w:r>
          </w:p>
        </w:tc>
      </w:tr>
      <w:tr>
        <w:tc>
          <w:tcPr>
            <w:tcW w:type="dxa" w:w="3000"/>
            <w:shd w:fill="F4F5F3" w:color="auto" w:val="clear"/>
            <w:tcMar>
              <w:top w:type="dxa" w:w="60"/>
              <w:left w:type="dxa" w:w="110"/>
              <w:bottom w:type="dxa" w:w="60"/>
              <w:right w:type="dxa" w:w="110"/>
            </w:tcMar>
          </w:tcPr>
          <w:p>
            <w:r>
              <w:rPr>
                <w:rFonts w:ascii="Calibri" w:cs="Calibri" w:eastAsia="Calibri" w:hAnsi="Calibri"/>
                <w:b w:val="false"/>
                <w:bCs w:val="false"/>
                <w:sz w:val="18"/>
                <w:szCs w:val="18"/>
              </w:rPr>
              <w:t xml:space="preserve">Rebalance generator — or honest interim copy</w:t>
            </w:r>
          </w:p>
        </w:tc>
        <w:tc>
          <w:tcPr>
            <w:tcW w:type="dxa" w:w="1500"/>
            <w:shd w:fill="F4F5F3" w:color="auto" w:val="clear"/>
            <w:tcMar>
              <w:top w:type="dxa" w:w="60"/>
              <w:left w:type="dxa" w:w="110"/>
              <w:bottom w:type="dxa" w:w="60"/>
              <w:right w:type="dxa" w:w="110"/>
            </w:tcMar>
          </w:tcPr>
          <w:p>
            <w:r>
              <w:rPr>
                <w:rFonts w:ascii="Calibri" w:cs="Calibri" w:eastAsia="Calibri" w:hAnsi="Calibri"/>
                <w:color w:val="6B7280"/>
                <w:sz w:val="18"/>
                <w:szCs w:val="18"/>
              </w:rPr>
              <w:t xml:space="preserve">Large / Small</w:t>
            </w:r>
          </w:p>
        </w:tc>
        <w:tc>
          <w:tcPr>
            <w:tcW w:type="dxa" w:w="4860"/>
            <w:shd w:fill="F4F5F3" w:color="auto" w:val="clear"/>
            <w:tcMar>
              <w:top w:type="dxa" w:w="60"/>
              <w:left w:type="dxa" w:w="110"/>
              <w:bottom w:type="dxa" w:w="60"/>
              <w:right w:type="dxa" w:w="110"/>
            </w:tcMar>
          </w:tcPr>
          <w:p>
            <w:r>
              <w:rPr>
                <w:rFonts w:ascii="Calibri" w:cs="Calibri" w:eastAsia="Calibri" w:hAnsi="Calibri"/>
                <w:sz w:val="18"/>
                <w:szCs w:val="18"/>
              </w:rPr>
              <w:t xml:space="preserve">Either build generateRebalance() honoring the seeded RebalancePolicy fields, or soften the UI copy that promises an action the engine never computes.</w:t>
            </w:r>
          </w:p>
        </w:tc>
      </w:tr>
      <w:tr>
        <w:tc>
          <w:tcPr>
            <w:tcW w:type="dxa" w:w="3000"/>
            <w:tcMar>
              <w:top w:type="dxa" w:w="60"/>
              <w:left w:type="dxa" w:w="110"/>
              <w:bottom w:type="dxa" w:w="60"/>
              <w:right w:type="dxa" w:w="110"/>
            </w:tcMar>
          </w:tcPr>
          <w:p>
            <w:r>
              <w:rPr>
                <w:rFonts w:ascii="Calibri" w:cs="Calibri" w:eastAsia="Calibri" w:hAnsi="Calibri"/>
                <w:b w:val="false"/>
                <w:bCs w:val="false"/>
                <w:sz w:val="18"/>
                <w:szCs w:val="18"/>
              </w:rPr>
              <w:t xml:space="preserve">Honesty pass: mark dormant scaffolding</w:t>
            </w:r>
          </w:p>
        </w:tc>
        <w:tc>
          <w:tcPr>
            <w:tcW w:type="dxa" w:w="1500"/>
            <w:tcMar>
              <w:top w:type="dxa" w:w="60"/>
              <w:left w:type="dxa" w:w="110"/>
              <w:bottom w:type="dxa" w:w="60"/>
              <w:right w:type="dxa" w:w="110"/>
            </w:tcMar>
          </w:tcPr>
          <w:p>
            <w:r>
              <w:rPr>
                <w:rFonts w:ascii="Calibri" w:cs="Calibri" w:eastAsia="Calibri" w:hAnsi="Calibri"/>
                <w:color w:val="6B7280"/>
                <w:sz w:val="18"/>
                <w:szCs w:val="18"/>
              </w:rPr>
              <w:t xml:space="preserve">Small–Med</w:t>
            </w:r>
          </w:p>
        </w:tc>
        <w:tc>
          <w:tcPr>
            <w:tcW w:type="dxa" w:w="4860"/>
            <w:tcMar>
              <w:top w:type="dxa" w:w="60"/>
              <w:left w:type="dxa" w:w="110"/>
              <w:bottom w:type="dxa" w:w="60"/>
              <w:right w:type="dxa" w:w="110"/>
            </w:tcMar>
          </w:tcPr>
          <w:p>
            <w:r>
              <w:rPr>
                <w:rFonts w:ascii="Calibri" w:cs="Calibri" w:eastAsia="Calibri" w:hAnsi="Calibri"/>
                <w:sz w:val="18"/>
                <w:szCs w:val="18"/>
              </w:rPr>
              <w:t xml:space="preserve">Gate GlidePolicy, the matrix apparatus, and the unbuilt engine functions behind an explicit “not yet enforced” status so seeded IPS language stops reading as behavior.</w:t>
            </w:r>
          </w:p>
        </w:tc>
      </w:tr>
    </w:tbl>
    <w:p>
      <w:pPr>
        <w:pStyle w:val="Heading1"/>
        <w:spacing w:after="120" w:before="300"/>
      </w:pPr>
      <w:r>
        <w:rPr>
          <w:rFonts w:ascii="Calibri" w:cs="Calibri" w:eastAsia="Calibri" w:hAnsi="Calibri"/>
          <w:b/>
          <w:bCs/>
          <w:color w:val="1F2A37"/>
          <w:sz w:val="30"/>
          <w:szCs w:val="30"/>
        </w:rPr>
        <w:t xml:space="preserve">Bottom line</w:t>
      </w:r>
    </w:p>
    <w:p>
      <w:pPr>
        <w:spacing w:after="120" w:line="276"/>
      </w:pPr>
      <w:r>
        <w:rPr>
          <w:rFonts w:ascii="Calibri" w:cs="Calibri" w:eastAsia="Calibri" w:hAnsi="Calibri"/>
        </w:rPr>
        <w:t xml:space="preserve">The app is strongest exactly where wealth planning is hardest and most valuable — the after-tax, liability-and-structure work almost no consumer tool does. It is weakest in the one place it claims to be most novel: the allocation itself. Closing that gap is not a rewrite; it is implementing the one function (</w:t>
      </w:r>
      <w:r>
        <w:rPr>
          <w:rFonts w:ascii="Consolas" w:cs="Consolas" w:eastAsia="Consolas" w:hAnsi="Consolas"/>
          <w:sz w:val="19"/>
          <w:szCs w:val="19"/>
        </w:rPr>
        <w:t xml:space="preserve">resolveTargets</w:t>
      </w:r>
      <w:r>
        <w:rPr>
          <w:rFonts w:ascii="Calibri" w:cs="Calibri" w:eastAsia="Calibri" w:hAnsi="Calibri"/>
        </w:rPr>
        <w:t xml:space="preserve">) the architecture was already built to receive. Until then, the most valuable near-term move may simply be to stop the copy from overclaiming — so the tool’s honesty matches the quality of its real engine.</w:t>
      </w:r>
    </w:p>
    <w:p>
      <w:pPr>
        <w:pBdr>
          <w:bottom w:val="single" w:color="D8DCD8" w:sz="6" w:space="4"/>
        </w:pBdr>
        <w:spacing w:after="160"/>
      </w:pPr>
      <w:r>
        <w:rPr>
          <w:rFonts w:ascii="Calibri" w:cs="Calibri" w:eastAsia="Calibri" w:hAnsi="Calibri"/>
        </w:rPr>
        <w:t xml:space="preserve"/>
      </w:r>
    </w:p>
    <w:p>
      <w:r>
        <w:rPr>
          <w:rFonts w:ascii="Calibri" w:cs="Calibri" w:eastAsia="Calibri" w:hAnsi="Calibri"/>
          <w:i/>
          <w:iCs/>
          <w:color w:val="6B7280"/>
          <w:sz w:val="16"/>
          <w:szCs w:val="16"/>
        </w:rPr>
        <w:t xml:space="preserve">Prepared as an internal engineering assessment of the WealthPolicyDesk engine. Figures and file references reflect the codebase as of August 17, 2026 and should be re-verified against the source before external use. Nothing here is investment advice.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color w:val="2F6F5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A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Allocation Model &amp; Investment Policy Assessment</dc:title>
  <dc:creator>Wealth Policy Desk</dc:creator>
  <cp:lastModifiedBy>Un-named</cp:lastModifiedBy>
  <cp:revision>1</cp:revision>
  <dcterms:created xsi:type="dcterms:W3CDTF">2026-08-17T15:16:56.105Z</dcterms:created>
  <dcterms:modified xsi:type="dcterms:W3CDTF">2026-08-17T15:16:56.106Z</dcterms:modified>
</cp:coreProperties>
</file>

<file path=docProps/custom.xml><?xml version="1.0" encoding="utf-8"?>
<Properties xmlns="http://schemas.openxmlformats.org/officeDocument/2006/custom-properties" xmlns:vt="http://schemas.openxmlformats.org/officeDocument/2006/docPropsVTypes"/>
</file>