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ata Flow Diagram " w:id="1"/>
      <w:bookmarkEnd w:id="1"/>
      <w:r>
        <w:rPr>
          <w:b w:val="0"/>
        </w:rPr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25 September 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SWTID-2026-9230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LegalEase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53"/>
        <w:rPr>
          <w:b/>
        </w:rPr>
      </w:pPr>
    </w:p>
    <w:p>
      <w:pPr>
        <w:pStyle w:val="Heading2"/>
      </w:pPr>
      <w:r>
        <w:rPr/>
        <w:t>Data Flow </w:t>
      </w:r>
      <w:r>
        <w:rPr>
          <w:spacing w:val="-2"/>
        </w:rPr>
        <w:t>Diagram</w:t>
      </w:r>
    </w:p>
    <w:p>
      <w:pPr>
        <w:pStyle w:val="BodyText"/>
        <w:spacing w:line="276" w:lineRule="auto" w:before="242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(DFD)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between external entities, processes, and data stores. Use the symbol legend below as a guide.</w:t>
      </w:r>
    </w:p>
    <w:p>
      <w:pPr>
        <w:pStyle w:val="Heading2"/>
        <w:spacing w:before="200"/>
      </w:pPr>
      <w:bookmarkStart w:name="DFD Symbol Legend " w:id="2"/>
      <w:bookmarkEnd w:id="2"/>
      <w:r>
        <w:rPr>
          <w:b w:val="0"/>
        </w:rPr>
      </w:r>
      <w:r>
        <w:rPr/>
        <w:t>DFD Symbol </w:t>
      </w:r>
      <w:r>
        <w:rPr>
          <w:spacing w:val="-2"/>
        </w:rPr>
        <w:t>Legend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940"/>
        <w:gridCol w:w="4920"/>
      </w:tblGrid>
      <w:tr>
        <w:trPr>
          <w:trHeight w:val="479" w:hRule="atLeast"/>
        </w:trPr>
        <w:tc>
          <w:tcPr>
            <w:tcW w:w="2480" w:type="dxa"/>
            <w:shd w:val="clear" w:color="auto" w:fill="D5E7F0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80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71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71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>
        <w:trPr>
          <w:trHeight w:val="1099" w:hRule="atLeast"/>
        </w:trPr>
        <w:tc>
          <w:tcPr>
            <w:tcW w:w="2480" w:type="dxa"/>
          </w:tcPr>
          <w:p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88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>
        <w:trPr>
          <w:trHeight w:val="779" w:hRule="atLeast"/>
        </w:trPr>
        <w:tc>
          <w:tcPr>
            <w:tcW w:w="2480" w:type="dxa"/>
          </w:tcPr>
          <w:p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>
        <w:trPr>
          <w:trHeight w:val="1100" w:hRule="atLeast"/>
        </w:trPr>
        <w:tc>
          <w:tcPr>
            <w:tcW w:w="248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Heading2"/>
        <w:spacing w:before="1"/>
      </w:pPr>
      <w:bookmarkStart w:name="Example " w:id="3"/>
      <w:bookmarkEnd w:id="3"/>
      <w:r>
        <w:rPr>
          <w:b w:val="0"/>
        </w:rPr>
      </w:r>
      <w:r>
        <w:rPr>
          <w:spacing w:val="-2"/>
        </w:rPr>
        <w:t>Example</w:t>
      </w:r>
    </w:p>
    <w:p>
      <w:pPr>
        <w:pStyle w:val="BodyText"/>
        <w:spacing w:line="276" w:lineRule="auto" w:before="141"/>
        <w:ind w:right="414"/>
      </w:pPr>
      <w:r>
        <w:rPr/>
        <w:t>The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symbols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data flow diagram.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0" w:footer="0" w:top="1820" w:bottom="280" w:left="1440" w:right="1440"/>
          <w:pgNumType w:start="1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963" cy="22098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r>
        <w:t>LegalEase High-Level Data Flow</w:t>
      </w:r>
    </w:p>
    <w:p>
      <w:r>
        <w:t>User → Streamlit Frontend → FastAPI Backend → Input Validation → Google Gemini API → Generated Legal Draft → Editable Output → TXT/DOCX/PDF Export → User</w:t>
      </w:r>
    </w:p>
    <w:p>
      <w:r>
        <w:t>External service: Google Gemini API. API keys are supplied through environment configuration.</w:t>
      </w:r>
    </w:p>
    <w:sectPr>
      <w:pgSz w:w="12240" w:h="15840"/>
      <w:pgMar w:header="0" w:footer="0"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4864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5376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terms:created xsi:type="dcterms:W3CDTF">2026-09-28T16:03:52Z</dcterms:created>
  <dcterms:modified xsi:type="dcterms:W3CDTF">2026-09-28T16:03:52Z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