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8526" w14:textId="7254DD4E" w:rsidR="00F108A2" w:rsidRDefault="00F108A2"/>
    <w:p w14:paraId="2C9E6293" w14:textId="533860F1" w:rsidR="00CB558B" w:rsidRPr="00CB558B" w:rsidRDefault="00CB558B" w:rsidP="00CB558B"/>
    <w:p w14:paraId="34EBD897" w14:textId="673CA850" w:rsidR="00CB558B" w:rsidRPr="00CB558B" w:rsidRDefault="000C6910" w:rsidP="00CB558B">
      <w:pPr>
        <w:tabs>
          <w:tab w:val="left" w:pos="3036"/>
        </w:tabs>
      </w:pPr>
      <w:r>
        <w:rPr>
          <w:noProof/>
        </w:rPr>
        <w:drawing>
          <wp:inline distT="0" distB="0" distL="0" distR="0" wp14:anchorId="47038514" wp14:editId="49E6FF5E">
            <wp:extent cx="592455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B7D1" w14:textId="1062CA67" w:rsidR="00DF4ADF" w:rsidRPr="0080622F" w:rsidRDefault="00DF4ADF" w:rsidP="00CB558B">
      <w:pPr>
        <w:rPr>
          <w:i/>
          <w:iCs/>
        </w:rPr>
      </w:pPr>
      <w:r w:rsidRPr="0080622F">
        <w:rPr>
          <w:i/>
          <w:iCs/>
        </w:rPr>
        <w:t xml:space="preserve">Figure X – Application of </w:t>
      </w:r>
      <w:proofErr w:type="spellStart"/>
      <w:r w:rsidRPr="0080622F">
        <w:rPr>
          <w:i/>
          <w:iCs/>
        </w:rPr>
        <w:t>Glycompare</w:t>
      </w:r>
      <w:proofErr w:type="spellEnd"/>
      <w:r w:rsidRPr="0080622F">
        <w:rPr>
          <w:i/>
          <w:iCs/>
        </w:rPr>
        <w:t xml:space="preserve"> substructure analysis to </w:t>
      </w:r>
      <w:r w:rsidR="00E4295B" w:rsidRPr="0080622F">
        <w:rPr>
          <w:i/>
          <w:iCs/>
        </w:rPr>
        <w:t>multiple datatypes. (A</w:t>
      </w:r>
      <w:r w:rsidR="008830F7" w:rsidRPr="0080622F">
        <w:rPr>
          <w:i/>
          <w:iCs/>
        </w:rPr>
        <w:t>-B</w:t>
      </w:r>
      <w:r w:rsidR="00E4295B" w:rsidRPr="0080622F">
        <w:rPr>
          <w:i/>
          <w:iCs/>
        </w:rPr>
        <w:t>)</w:t>
      </w:r>
      <w:r w:rsidR="00052651" w:rsidRPr="0080622F">
        <w:rPr>
          <w:i/>
          <w:iCs/>
        </w:rPr>
        <w:t xml:space="preserve"> </w:t>
      </w:r>
      <w:proofErr w:type="spellStart"/>
      <w:r w:rsidR="00052651" w:rsidRPr="0080622F">
        <w:rPr>
          <w:i/>
          <w:iCs/>
        </w:rPr>
        <w:t>Biclustered</w:t>
      </w:r>
      <w:proofErr w:type="spellEnd"/>
      <w:r w:rsidR="00052651" w:rsidRPr="0080622F">
        <w:rPr>
          <w:i/>
          <w:iCs/>
        </w:rPr>
        <w:t xml:space="preserve"> heatmaps of </w:t>
      </w:r>
      <w:r w:rsidR="00193400" w:rsidRPr="0080622F">
        <w:rPr>
          <w:i/>
          <w:iCs/>
        </w:rPr>
        <w:t>compositional</w:t>
      </w:r>
      <w:r w:rsidR="008830F7" w:rsidRPr="0080622F">
        <w:rPr>
          <w:i/>
          <w:iCs/>
        </w:rPr>
        <w:t xml:space="preserve"> (A)</w:t>
      </w:r>
      <w:r w:rsidR="00193400" w:rsidRPr="0080622F">
        <w:rPr>
          <w:i/>
          <w:iCs/>
        </w:rPr>
        <w:t xml:space="preserve"> site-specific N-glycan data from mouse brain {</w:t>
      </w:r>
      <w:commentRangeStart w:id="0"/>
      <w:r w:rsidR="00C17D39" w:rsidRPr="0080622F">
        <w:rPr>
          <w:i/>
          <w:iCs/>
          <w:color w:val="FF0000"/>
        </w:rPr>
        <w:t>Riley</w:t>
      </w:r>
      <w:commentRangeEnd w:id="0"/>
      <w:r w:rsidR="00D0171D">
        <w:rPr>
          <w:rStyle w:val="CommentReference"/>
        </w:rPr>
        <w:commentReference w:id="0"/>
      </w:r>
      <w:r w:rsidR="00C17D39" w:rsidRPr="0080622F">
        <w:rPr>
          <w:i/>
          <w:iCs/>
          <w:color w:val="FF0000"/>
        </w:rPr>
        <w:t>,2019</w:t>
      </w:r>
      <w:r w:rsidR="00C17D39" w:rsidRPr="0080622F">
        <w:rPr>
          <w:i/>
          <w:iCs/>
        </w:rPr>
        <w:t>}</w:t>
      </w:r>
      <w:r w:rsidR="00155FF0" w:rsidRPr="0080622F">
        <w:rPr>
          <w:i/>
          <w:iCs/>
        </w:rPr>
        <w:t xml:space="preserve">. </w:t>
      </w:r>
      <w:r w:rsidR="00DD0B4A" w:rsidRPr="0080622F">
        <w:rPr>
          <w:i/>
          <w:iCs/>
        </w:rPr>
        <w:t xml:space="preserve">(B) </w:t>
      </w:r>
      <w:r w:rsidR="008830F7" w:rsidRPr="0080622F">
        <w:rPr>
          <w:i/>
          <w:iCs/>
        </w:rPr>
        <w:t>The same c</w:t>
      </w:r>
      <w:r w:rsidR="00155FF0" w:rsidRPr="0080622F">
        <w:rPr>
          <w:i/>
          <w:iCs/>
        </w:rPr>
        <w:t xml:space="preserve">ompositional data was substructure-decomposed to calculate </w:t>
      </w:r>
      <w:r w:rsidR="008830F7" w:rsidRPr="0080622F">
        <w:rPr>
          <w:i/>
          <w:iCs/>
        </w:rPr>
        <w:t>substructure abundances</w:t>
      </w:r>
      <w:r w:rsidR="00DD0B4A" w:rsidRPr="0080622F">
        <w:rPr>
          <w:i/>
          <w:iCs/>
        </w:rPr>
        <w:t xml:space="preserve"> presented in another </w:t>
      </w:r>
      <w:proofErr w:type="spellStart"/>
      <w:r w:rsidR="00DD0B4A" w:rsidRPr="0080622F">
        <w:rPr>
          <w:i/>
          <w:iCs/>
        </w:rPr>
        <w:t>biclustered</w:t>
      </w:r>
      <w:proofErr w:type="spellEnd"/>
      <w:r w:rsidR="00DD0B4A" w:rsidRPr="0080622F">
        <w:rPr>
          <w:i/>
          <w:iCs/>
        </w:rPr>
        <w:t xml:space="preserve"> heatmap.</w:t>
      </w:r>
      <w:r w:rsidR="0012103A" w:rsidRPr="0080622F">
        <w:rPr>
          <w:i/>
          <w:iCs/>
        </w:rPr>
        <w:t xml:space="preserve"> (C-D) </w:t>
      </w:r>
      <w:r w:rsidR="00142E28" w:rsidRPr="0080622F">
        <w:rPr>
          <w:i/>
          <w:iCs/>
        </w:rPr>
        <w:t>The Pearson Correlation Coefficient was calculated for t</w:t>
      </w:r>
      <w:r w:rsidR="0012103A" w:rsidRPr="0080622F">
        <w:rPr>
          <w:i/>
          <w:iCs/>
        </w:rPr>
        <w:t>he compositional and composition substructure abundan</w:t>
      </w:r>
      <w:r w:rsidR="006753B7" w:rsidRPr="0080622F">
        <w:rPr>
          <w:i/>
          <w:iCs/>
        </w:rPr>
        <w:t xml:space="preserve">ce for each glycosylation site </w:t>
      </w:r>
      <w:r w:rsidR="00142E28" w:rsidRPr="0080622F">
        <w:rPr>
          <w:i/>
          <w:iCs/>
        </w:rPr>
        <w:t>across proteins</w:t>
      </w:r>
      <w:r w:rsidR="001C2659" w:rsidRPr="0080622F">
        <w:rPr>
          <w:i/>
          <w:iCs/>
        </w:rPr>
        <w:t xml:space="preserve">. </w:t>
      </w:r>
      <w:proofErr w:type="spellStart"/>
      <w:r w:rsidR="001C2659" w:rsidRPr="0080622F">
        <w:rPr>
          <w:i/>
          <w:iCs/>
        </w:rPr>
        <w:t>Biclustered</w:t>
      </w:r>
      <w:proofErr w:type="spellEnd"/>
      <w:r w:rsidR="001C2659" w:rsidRPr="0080622F">
        <w:rPr>
          <w:i/>
          <w:iCs/>
        </w:rPr>
        <w:t xml:space="preserve"> heatmaps of the resulting Correlation coefficients are present as </w:t>
      </w:r>
      <w:proofErr w:type="spellStart"/>
      <w:r w:rsidR="001C2659" w:rsidRPr="0080622F">
        <w:rPr>
          <w:i/>
          <w:iCs/>
        </w:rPr>
        <w:t>biclustered</w:t>
      </w:r>
      <w:proofErr w:type="spellEnd"/>
      <w:r w:rsidR="001C2659" w:rsidRPr="0080622F">
        <w:rPr>
          <w:i/>
          <w:iCs/>
        </w:rPr>
        <w:t xml:space="preserve"> heatmaps. </w:t>
      </w:r>
      <w:proofErr w:type="spellStart"/>
      <w:r w:rsidR="00A5532D" w:rsidRPr="0080622F">
        <w:rPr>
          <w:i/>
          <w:iCs/>
        </w:rPr>
        <w:t>Biclustering</w:t>
      </w:r>
      <w:proofErr w:type="spellEnd"/>
      <w:r w:rsidR="00A5532D" w:rsidRPr="0080622F">
        <w:rPr>
          <w:i/>
          <w:iCs/>
        </w:rPr>
        <w:t xml:space="preserve"> </w:t>
      </w:r>
      <w:r w:rsidR="002D6D17" w:rsidRPr="0080622F">
        <w:rPr>
          <w:i/>
          <w:iCs/>
        </w:rPr>
        <w:t>used a complete agglomerative approach.</w:t>
      </w:r>
      <w:r w:rsidR="00AA6E06" w:rsidRPr="0080622F">
        <w:rPr>
          <w:i/>
          <w:iCs/>
        </w:rPr>
        <w:t xml:space="preserve"> (E) </w:t>
      </w:r>
      <w:r w:rsidR="0063486E" w:rsidRPr="0080622F">
        <w:rPr>
          <w:i/>
          <w:iCs/>
        </w:rPr>
        <w:t>A re-analysis of mucin-type</w:t>
      </w:r>
      <w:r w:rsidR="00AA6E06" w:rsidRPr="0080622F">
        <w:rPr>
          <w:i/>
          <w:iCs/>
        </w:rPr>
        <w:t xml:space="preserve"> O-glycan</w:t>
      </w:r>
      <w:r w:rsidR="00807E86" w:rsidRPr="0080622F">
        <w:rPr>
          <w:i/>
          <w:iCs/>
        </w:rPr>
        <w:t xml:space="preserve">s </w:t>
      </w:r>
      <w:r w:rsidR="00807E86" w:rsidRPr="0080622F">
        <w:rPr>
          <w:i/>
          <w:iCs/>
        </w:rPr>
        <w:t>{</w:t>
      </w:r>
      <w:commentRangeStart w:id="1"/>
      <w:r w:rsidR="00807E86" w:rsidRPr="0080622F">
        <w:rPr>
          <w:i/>
          <w:iCs/>
          <w:color w:val="FF0000"/>
        </w:rPr>
        <w:t>Jin</w:t>
      </w:r>
      <w:commentRangeEnd w:id="1"/>
      <w:r w:rsidR="007C035C">
        <w:rPr>
          <w:rStyle w:val="CommentReference"/>
        </w:rPr>
        <w:commentReference w:id="1"/>
      </w:r>
      <w:r w:rsidR="00807E86" w:rsidRPr="0080622F">
        <w:rPr>
          <w:i/>
          <w:iCs/>
          <w:color w:val="FF0000"/>
        </w:rPr>
        <w:t>,2019</w:t>
      </w:r>
      <w:r w:rsidR="00807E86" w:rsidRPr="0080622F">
        <w:rPr>
          <w:i/>
          <w:iCs/>
        </w:rPr>
        <w:t>}</w:t>
      </w:r>
      <w:r w:rsidR="00807E86" w:rsidRPr="0080622F">
        <w:rPr>
          <w:i/>
          <w:iCs/>
        </w:rPr>
        <w:t xml:space="preserve"> from normal, tumor-proximal and gastrointestinal cancer biopsies,</w:t>
      </w:r>
      <w:r w:rsidR="0063486E" w:rsidRPr="0080622F">
        <w:rPr>
          <w:i/>
          <w:iCs/>
        </w:rPr>
        <w:t xml:space="preserve"> transformed to epitope abundance showed </w:t>
      </w:r>
      <w:r w:rsidR="00807E86" w:rsidRPr="0080622F">
        <w:rPr>
          <w:i/>
          <w:iCs/>
        </w:rPr>
        <w:t>multiple core 2</w:t>
      </w:r>
      <w:r w:rsidR="00AA6E06" w:rsidRPr="0080622F">
        <w:rPr>
          <w:i/>
          <w:iCs/>
        </w:rPr>
        <w:t xml:space="preserve"> </w:t>
      </w:r>
      <w:r w:rsidR="00807E86" w:rsidRPr="0080622F">
        <w:rPr>
          <w:i/>
          <w:iCs/>
        </w:rPr>
        <w:t>epitopes depleted in gastrointestinal cancer.</w:t>
      </w:r>
      <w:r w:rsidR="00732CC3" w:rsidRPr="0080622F">
        <w:rPr>
          <w:i/>
          <w:iCs/>
        </w:rPr>
        <w:t xml:space="preserve"> (F-G) A re-analysis of ganglioside glycolipid substructure </w:t>
      </w:r>
      <w:r w:rsidR="00C4200D" w:rsidRPr="0080622F">
        <w:rPr>
          <w:i/>
          <w:iCs/>
        </w:rPr>
        <w:t xml:space="preserve">abundance </w:t>
      </w:r>
      <w:r w:rsidR="00732CC3" w:rsidRPr="0080622F">
        <w:rPr>
          <w:i/>
          <w:iCs/>
        </w:rPr>
        <w:t xml:space="preserve">from a </w:t>
      </w:r>
      <w:proofErr w:type="spellStart"/>
      <w:r w:rsidR="00732CC3" w:rsidRPr="0080622F">
        <w:rPr>
          <w:i/>
          <w:iCs/>
        </w:rPr>
        <w:t>lacose</w:t>
      </w:r>
      <w:proofErr w:type="spellEnd"/>
      <w:r w:rsidR="00732CC3" w:rsidRPr="0080622F">
        <w:rPr>
          <w:i/>
          <w:iCs/>
        </w:rPr>
        <w:t xml:space="preserve"> root </w:t>
      </w:r>
      <w:r w:rsidR="00C4200D" w:rsidRPr="0080622F">
        <w:rPr>
          <w:i/>
          <w:iCs/>
        </w:rPr>
        <w:t xml:space="preserve">clarified distinct glycosylation in the </w:t>
      </w:r>
      <w:r w:rsidR="0080622F" w:rsidRPr="0080622F">
        <w:rPr>
          <w:i/>
          <w:iCs/>
        </w:rPr>
        <w:t>retina {</w:t>
      </w:r>
      <w:commentRangeStart w:id="2"/>
      <w:r w:rsidR="0080622F" w:rsidRPr="0080622F">
        <w:rPr>
          <w:i/>
          <w:iCs/>
          <w:color w:val="FF0000"/>
        </w:rPr>
        <w:t>Sibelle</w:t>
      </w:r>
      <w:commentRangeEnd w:id="2"/>
      <w:r w:rsidR="00987BA8">
        <w:rPr>
          <w:rStyle w:val="CommentReference"/>
        </w:rPr>
        <w:commentReference w:id="2"/>
      </w:r>
      <w:r w:rsidR="0080622F" w:rsidRPr="0080622F">
        <w:rPr>
          <w:i/>
          <w:iCs/>
          <w:color w:val="FF0000"/>
        </w:rPr>
        <w:t>,2016}</w:t>
      </w:r>
      <w:r w:rsidRPr="0080622F">
        <w:rPr>
          <w:i/>
          <w:iCs/>
        </w:rPr>
        <w:br/>
      </w:r>
    </w:p>
    <w:p w14:paraId="0D081CA5" w14:textId="50ED187C" w:rsidR="00CB558B" w:rsidRPr="009B64F0" w:rsidRDefault="005A1541" w:rsidP="00CB558B">
      <w:pPr>
        <w:rPr>
          <w:b/>
          <w:bCs/>
        </w:rPr>
      </w:pPr>
      <w:r w:rsidRPr="009B64F0">
        <w:rPr>
          <w:b/>
          <w:bCs/>
        </w:rPr>
        <w:t xml:space="preserve">Results: </w:t>
      </w:r>
      <w:r w:rsidR="00CB2FF1" w:rsidRPr="009B64F0">
        <w:rPr>
          <w:b/>
          <w:bCs/>
        </w:rPr>
        <w:t>Substructure and epitope abundance</w:t>
      </w:r>
      <w:r w:rsidRPr="009B64F0">
        <w:rPr>
          <w:b/>
          <w:bCs/>
        </w:rPr>
        <w:t xml:space="preserve"> provides additional insight </w:t>
      </w:r>
      <w:r w:rsidR="009B64F0" w:rsidRPr="009B64F0">
        <w:rPr>
          <w:b/>
          <w:bCs/>
        </w:rPr>
        <w:t>across glycan datatypes</w:t>
      </w:r>
    </w:p>
    <w:p w14:paraId="06CAE812" w14:textId="77777777" w:rsidR="00C37657" w:rsidRDefault="009B64F0" w:rsidP="009B64F0">
      <w:r>
        <w:t>To explore the</w:t>
      </w:r>
      <w:r w:rsidR="00144683">
        <w:t xml:space="preserve"> broad applicability of glycan substructure (from the root) and epitope (from the leaves) </w:t>
      </w:r>
      <w:r w:rsidR="00BE36C4">
        <w:t xml:space="preserve">abundance, we next </w:t>
      </w:r>
      <w:r w:rsidR="0080622F">
        <w:t>reanalyzed</w:t>
      </w:r>
      <w:r w:rsidR="00BE36C4">
        <w:t xml:space="preserve"> data from multiple studies with unique datatypes to explore how findings of each study could be enriched (</w:t>
      </w:r>
      <w:r w:rsidR="00BE36C4">
        <w:rPr>
          <w:b/>
          <w:bCs/>
        </w:rPr>
        <w:t>Fig X</w:t>
      </w:r>
      <w:r w:rsidR="00BE36C4">
        <w:t xml:space="preserve">). </w:t>
      </w:r>
    </w:p>
    <w:p w14:paraId="1BB110F1" w14:textId="71B218BD" w:rsidR="00872839" w:rsidRDefault="00C64499" w:rsidP="00872839">
      <w:pPr>
        <w:ind w:firstLine="360"/>
      </w:pPr>
      <w:r>
        <w:t>Examining site-specific N-glycan compositional data from rat brain {</w:t>
      </w:r>
      <w:r w:rsidR="0080622F" w:rsidRPr="0080622F">
        <w:rPr>
          <w:color w:val="FF0000"/>
        </w:rPr>
        <w:t>Riley,2019</w:t>
      </w:r>
      <w:r w:rsidR="0080622F">
        <w:t>}</w:t>
      </w:r>
      <w:r w:rsidR="00380134">
        <w:t xml:space="preserve">, we found that the decomposition of </w:t>
      </w:r>
      <w:r w:rsidR="002351BB">
        <w:t xml:space="preserve">composition abundance into composition substructure abundance reveals additional potential signal. </w:t>
      </w:r>
      <w:r w:rsidR="006547B3">
        <w:t xml:space="preserve">As previously shown, the </w:t>
      </w:r>
      <w:r w:rsidR="00F10B83">
        <w:t xml:space="preserve">sparsity of the abundance matrix </w:t>
      </w:r>
      <w:r w:rsidR="0073130F">
        <w:t>decreases,</w:t>
      </w:r>
      <w:r w:rsidR="00F10B83">
        <w:t xml:space="preserve"> and the comparability of profiles is improved when glycan data is </w:t>
      </w:r>
      <w:r w:rsidR="00955D0C">
        <w:t>aggregated over</w:t>
      </w:r>
      <w:r w:rsidR="00F10B83">
        <w:t xml:space="preserve"> substructures</w:t>
      </w:r>
      <w:r w:rsidR="00955D0C">
        <w:t xml:space="preserve"> (</w:t>
      </w:r>
      <w:r w:rsidR="00955D0C">
        <w:rPr>
          <w:b/>
          <w:bCs/>
        </w:rPr>
        <w:t>Fig X</w:t>
      </w:r>
      <w:r w:rsidR="00955D0C">
        <w:rPr>
          <w:b/>
          <w:bCs/>
        </w:rPr>
        <w:t>A-B</w:t>
      </w:r>
      <w:r w:rsidR="00955D0C">
        <w:t xml:space="preserve">). </w:t>
      </w:r>
      <w:proofErr w:type="spellStart"/>
      <w:r w:rsidR="00955D0C">
        <w:lastRenderedPageBreak/>
        <w:t>Futher</w:t>
      </w:r>
      <w:proofErr w:type="spellEnd"/>
      <w:r w:rsidR="00955D0C">
        <w:t xml:space="preserve">, </w:t>
      </w:r>
      <w:r w:rsidR="00003472">
        <w:t>the correlation structure of substructure aggregated abundance (</w:t>
      </w:r>
      <w:r w:rsidR="00003472">
        <w:rPr>
          <w:b/>
          <w:bCs/>
        </w:rPr>
        <w:t>Fig X</w:t>
      </w:r>
      <w:r w:rsidR="00003472">
        <w:rPr>
          <w:b/>
          <w:bCs/>
        </w:rPr>
        <w:t>D</w:t>
      </w:r>
      <w:r w:rsidR="00003472">
        <w:t>) appears more robust than its compositional counterpart (</w:t>
      </w:r>
      <w:r w:rsidR="00003472">
        <w:rPr>
          <w:b/>
          <w:bCs/>
        </w:rPr>
        <w:t>Fig X</w:t>
      </w:r>
      <w:r w:rsidR="00003472">
        <w:rPr>
          <w:b/>
          <w:bCs/>
        </w:rPr>
        <w:t>C</w:t>
      </w:r>
      <w:r w:rsidR="00003472">
        <w:t xml:space="preserve">); there are more clusters with clearer boarders, multiple </w:t>
      </w:r>
      <w:r w:rsidR="00C37657">
        <w:t>clear</w:t>
      </w:r>
      <w:r w:rsidR="00003472">
        <w:t xml:space="preserve"> off-</w:t>
      </w:r>
      <w:r w:rsidR="00C37657">
        <w:t>diagonal</w:t>
      </w:r>
      <w:r w:rsidR="00003472">
        <w:t xml:space="preserve"> clusters</w:t>
      </w:r>
      <w:r w:rsidR="00C37657">
        <w:t xml:space="preserve"> and the median R</w:t>
      </w:r>
      <w:r w:rsidR="00C37657" w:rsidRPr="00C37657">
        <w:rPr>
          <w:vertAlign w:val="superscript"/>
        </w:rPr>
        <w:t>2</w:t>
      </w:r>
      <w:r w:rsidR="00C37657">
        <w:t xml:space="preserve"> is approximately doubled. While it is possible that the higher correlation is indicative of an increased background, that is unlikely considering the </w:t>
      </w:r>
      <w:r w:rsidR="00872839">
        <w:t xml:space="preserve">increase in visible correlation is structured, not randomly distributed through the background. </w:t>
      </w:r>
    </w:p>
    <w:p w14:paraId="586C047E" w14:textId="0070D15F" w:rsidR="0007136D" w:rsidRDefault="0007136D" w:rsidP="00872839">
      <w:pPr>
        <w:ind w:firstLine="360"/>
      </w:pPr>
      <w:r>
        <w:t xml:space="preserve">We next explored mucin-type O-glycans from a recent study in gastrointestinal </w:t>
      </w:r>
      <w:proofErr w:type="gramStart"/>
      <w:r>
        <w:t>cancer</w:t>
      </w:r>
      <w:r w:rsidR="00580FF8">
        <w:t>{</w:t>
      </w:r>
      <w:proofErr w:type="gramEnd"/>
      <w:r w:rsidR="00580FF8" w:rsidRPr="00580FF8">
        <w:rPr>
          <w:color w:val="FF0000"/>
        </w:rPr>
        <w:t>Jin,2019}</w:t>
      </w:r>
      <w:r>
        <w:t xml:space="preserve">. </w:t>
      </w:r>
      <w:r w:rsidR="00337811">
        <w:t xml:space="preserve">Rather than building substructures from a biosynthetic </w:t>
      </w:r>
      <w:proofErr w:type="gramStart"/>
      <w:r w:rsidR="00337811">
        <w:t>core, and</w:t>
      </w:r>
      <w:proofErr w:type="gramEnd"/>
      <w:r w:rsidR="00337811">
        <w:t xml:space="preserve"> aggregating from larger to subsumed structures—</w:t>
      </w:r>
      <w:r w:rsidR="007A043E">
        <w:t>this core-based analysis having the biosynthetic implications previously discussed, here we aggregate</w:t>
      </w:r>
      <w:r w:rsidR="003F051C">
        <w:t xml:space="preserve"> starting from monosaccharides to calculate epitope abundance. </w:t>
      </w:r>
      <w:r w:rsidR="00856A8F">
        <w:t xml:space="preserve">We found a substantial depletion in the tumor samples of five core 2 structures. These structures included </w:t>
      </w:r>
      <w:r w:rsidR="008B1DF5">
        <w:t>three</w:t>
      </w:r>
      <w:r w:rsidR="00856A8F">
        <w:t xml:space="preserve"> </w:t>
      </w:r>
      <w:proofErr w:type="spellStart"/>
      <w:r w:rsidR="00856A8F">
        <w:t>fucosylated</w:t>
      </w:r>
      <w:proofErr w:type="spellEnd"/>
      <w:r w:rsidR="00856A8F">
        <w:t xml:space="preserve"> and two with an I </w:t>
      </w:r>
      <w:proofErr w:type="gramStart"/>
      <w:r w:rsidR="00856A8F">
        <w:t>branch</w:t>
      </w:r>
      <w:r w:rsidR="003F0A1B">
        <w:t>es</w:t>
      </w:r>
      <w:proofErr w:type="gramEnd"/>
      <w:r w:rsidR="00856A8F">
        <w:t>. Th</w:t>
      </w:r>
      <w:r w:rsidR="003F0A1B">
        <w:t xml:space="preserve">e largest structures were </w:t>
      </w:r>
      <w:r w:rsidR="00BC2C0A">
        <w:t>over 30-fold depleted in tumors (FDR&lt;0.03</w:t>
      </w:r>
      <w:r w:rsidR="00A46719">
        <w:t xml:space="preserve">, </w:t>
      </w:r>
      <w:r w:rsidR="00A46719">
        <w:rPr>
          <w:b/>
          <w:bCs/>
        </w:rPr>
        <w:t>Fig X</w:t>
      </w:r>
      <w:r w:rsidR="00A46719">
        <w:rPr>
          <w:b/>
          <w:bCs/>
        </w:rPr>
        <w:t>E</w:t>
      </w:r>
      <w:r w:rsidR="00BC2C0A">
        <w:t>).</w:t>
      </w:r>
      <w:r w:rsidR="00393053">
        <w:t xml:space="preserve"> </w:t>
      </w:r>
      <w:r w:rsidR="00851C5A">
        <w:t xml:space="preserve">We examined all glycan and epitope abundance changes relative to </w:t>
      </w:r>
      <w:r w:rsidR="00580F55">
        <w:t xml:space="preserve">the tumor/normal comparison. </w:t>
      </w:r>
      <w:r w:rsidR="00580F55" w:rsidRPr="00D55588">
        <w:rPr>
          <w:b/>
          <w:bCs/>
        </w:rPr>
        <w:t>These five epitopes were significantly</w:t>
      </w:r>
      <w:r w:rsidR="002B62AB" w:rsidRPr="00D55588">
        <w:rPr>
          <w:b/>
          <w:bCs/>
        </w:rPr>
        <w:t xml:space="preserve"> (after multiple test correction, FDR)</w:t>
      </w:r>
      <w:r w:rsidR="00580F55" w:rsidRPr="00D55588">
        <w:rPr>
          <w:b/>
          <w:bCs/>
        </w:rPr>
        <w:t xml:space="preserve"> diff</w:t>
      </w:r>
      <w:r w:rsidR="002B62AB" w:rsidRPr="00D55588">
        <w:rPr>
          <w:b/>
          <w:bCs/>
        </w:rPr>
        <w:t xml:space="preserve">erent between tumor and normal samples while there were zero glycan structures that distinguished tumor from normal samples. </w:t>
      </w:r>
      <w:r w:rsidR="00393053">
        <w:t xml:space="preserve">While these structures were observed in the original publication, </w:t>
      </w:r>
      <w:r w:rsidR="0088484A">
        <w:t xml:space="preserve">the continuity across similar </w:t>
      </w:r>
      <w:r w:rsidR="001A6CCA">
        <w:t>epitopes was not clear in the original work; that continuity is recovered using substructure aggregation.</w:t>
      </w:r>
    </w:p>
    <w:p w14:paraId="047B8879" w14:textId="248E80FD" w:rsidR="003F051C" w:rsidRDefault="00A46719" w:rsidP="003F051C">
      <w:r>
        <w:tab/>
        <w:t xml:space="preserve">Finally, we examined </w:t>
      </w:r>
      <w:r w:rsidR="00580FF8">
        <w:t xml:space="preserve">lactose </w:t>
      </w:r>
      <w:r w:rsidR="000735A3">
        <w:t xml:space="preserve">core-based ganglioside </w:t>
      </w:r>
      <w:r w:rsidR="00580FF8">
        <w:t>abundance from a recent study of gangliosides in the eye, brain and blood {</w:t>
      </w:r>
      <w:r w:rsidR="00580FF8" w:rsidRPr="00580FF8">
        <w:rPr>
          <w:color w:val="FF0000"/>
        </w:rPr>
        <w:t>Sibille,2016</w:t>
      </w:r>
      <w:r w:rsidR="00580FF8">
        <w:t>}.</w:t>
      </w:r>
      <w:r w:rsidR="008C610D">
        <w:t xml:space="preserve"> We examined </w:t>
      </w:r>
      <w:r w:rsidR="00C76591">
        <w:t>measured abundance from two gangliosides (GD3 and GM2) and their corresponding lac</w:t>
      </w:r>
      <w:r w:rsidR="00D55588">
        <w:t>t</w:t>
      </w:r>
      <w:r w:rsidR="00C76591">
        <w:t xml:space="preserve">ose-based substructure abundance. </w:t>
      </w:r>
      <w:r w:rsidR="00636058">
        <w:t>When ganglioside and substructure abundance was pooled by ceramide types</w:t>
      </w:r>
      <w:r w:rsidR="00851C5A">
        <w:t>, we fou</w:t>
      </w:r>
      <w:r w:rsidR="00E57F52">
        <w:t xml:space="preserve">nd the GD3 substructure enriched in retina </w:t>
      </w:r>
      <w:r w:rsidR="009D6F7E">
        <w:t>relative to brain an</w:t>
      </w:r>
      <w:bookmarkStart w:id="3" w:name="_GoBack"/>
      <w:bookmarkEnd w:id="3"/>
      <w:r w:rsidR="009D6F7E">
        <w:t xml:space="preserve">d plasma, while the GD3 ganglioside abundance showed no coherent effect. </w:t>
      </w:r>
      <w:r w:rsidR="00BC4632">
        <w:t xml:space="preserve">Similarly, the GM2 substructure was enriched across several ceramide types </w:t>
      </w:r>
      <w:r w:rsidR="00F52600">
        <w:t xml:space="preserve">in the Ciliary-body relative to the retina, while the GM2 ganglioside showed no coherent effect. By aggregating over </w:t>
      </w:r>
      <w:proofErr w:type="gramStart"/>
      <w:r w:rsidR="00F52600">
        <w:t>subtypes</w:t>
      </w:r>
      <w:proofErr w:type="gramEnd"/>
      <w:r w:rsidR="00F52600">
        <w:t xml:space="preserve"> we can </w:t>
      </w:r>
      <w:r w:rsidR="00C50243">
        <w:t xml:space="preserve">account for </w:t>
      </w:r>
      <w:r w:rsidR="003334C4">
        <w:t>confounding</w:t>
      </w:r>
      <w:r w:rsidR="00C50243">
        <w:t xml:space="preserve"> biosynthetic complexity thereby simplifying analyses and making </w:t>
      </w:r>
      <w:r w:rsidR="00802FF2">
        <w:t>crucial insights more accessible.</w:t>
      </w:r>
    </w:p>
    <w:p w14:paraId="729E7A38" w14:textId="77777777" w:rsidR="00011D49" w:rsidRDefault="00011D49" w:rsidP="003F051C"/>
    <w:p w14:paraId="0F94865D" w14:textId="77777777" w:rsidR="00A46719" w:rsidRDefault="00A46719" w:rsidP="003F051C"/>
    <w:p w14:paraId="78956459" w14:textId="52B3C27E" w:rsidR="003F051C" w:rsidRPr="00E40212" w:rsidRDefault="003F051C" w:rsidP="003F051C">
      <w:pPr>
        <w:rPr>
          <w:b/>
          <w:bCs/>
        </w:rPr>
      </w:pPr>
      <w:r>
        <w:rPr>
          <w:b/>
          <w:bCs/>
        </w:rPr>
        <w:t>Methods:</w:t>
      </w:r>
      <w:r w:rsidR="00E40212">
        <w:rPr>
          <w:b/>
          <w:bCs/>
        </w:rPr>
        <w:t xml:space="preserve"> </w:t>
      </w:r>
      <w:r w:rsidR="00E40212" w:rsidRPr="00E40212">
        <w:t>C</w:t>
      </w:r>
      <w:r w:rsidR="00ED44A1">
        <w:t>ore, Epitope and Compositional Substructure Abundance</w:t>
      </w:r>
      <w:r w:rsidR="00A60F1E">
        <w:t xml:space="preserve"> Calculations</w:t>
      </w:r>
    </w:p>
    <w:p w14:paraId="59C11410" w14:textId="77777777" w:rsidR="00E40212" w:rsidRDefault="00ED44A1" w:rsidP="003F051C">
      <w:r>
        <w:t>In this manuscript we discuss three types of substructure abundance: cor</w:t>
      </w:r>
      <w:r w:rsidR="001927DC">
        <w:t xml:space="preserve">e-based substructures, epitope substructures and compositional substructures. Each is a slight modification on the core algorithm with </w:t>
      </w:r>
      <w:r w:rsidR="00E40212">
        <w:t>distinct implications.</w:t>
      </w:r>
    </w:p>
    <w:p w14:paraId="6C5ACC6E" w14:textId="7E9C8ABE" w:rsidR="00ED44A1" w:rsidRDefault="00E40212" w:rsidP="003F051C">
      <w:r>
        <w:t>Core-based substructures</w:t>
      </w:r>
      <w:r w:rsidR="00410D6C">
        <w:t xml:space="preserve"> are</w:t>
      </w:r>
      <w:r>
        <w:t xml:space="preserve"> discussed in the context of EPO N-glycosylation (N-glycan core), HMO abundance (lactose core), and </w:t>
      </w:r>
      <w:r w:rsidR="00410D6C">
        <w:t>gangliosides (lactose core). These analy</w:t>
      </w:r>
      <w:r w:rsidR="00433D48">
        <w:t xml:space="preserve">ses start with a glycan core (e.g. </w:t>
      </w:r>
      <w:proofErr w:type="spellStart"/>
      <w:r w:rsidR="00433D48">
        <w:t>lacose</w:t>
      </w:r>
      <w:proofErr w:type="spellEnd"/>
      <w:r w:rsidR="00433D48">
        <w:t xml:space="preserve">) and then aggregate from larger structures towards the core. For example, any HMO abundance is added to the core lactose abundance because every HMO contains lactose. </w:t>
      </w:r>
      <w:r w:rsidR="002B58DC">
        <w:t xml:space="preserve">Similarly, DSLNT abundance is added to LNT abundance between DSLNT contains LNT. </w:t>
      </w:r>
      <w:r w:rsidR="009C2E7C">
        <w:t xml:space="preserve">Core-base substructure aggregation accounts for the “disappearance” of glycan abundance as smaller structures are </w:t>
      </w:r>
      <w:r w:rsidR="00EC095B">
        <w:t xml:space="preserve">consumed to make larger structures; this aggregation approach accounts for biosynthetic </w:t>
      </w:r>
      <w:r w:rsidR="000A1110">
        <w:t xml:space="preserve">variation in glycan abundance and should </w:t>
      </w:r>
      <w:r w:rsidR="004C2FEF">
        <w:t>facilitate biosynthetic insights.</w:t>
      </w:r>
    </w:p>
    <w:p w14:paraId="5683A2DE" w14:textId="3F44B3D0" w:rsidR="004C2FEF" w:rsidRDefault="004C2FEF" w:rsidP="003F051C">
      <w:r>
        <w:lastRenderedPageBreak/>
        <w:t xml:space="preserve">Epitope substructures are discussed in the context of </w:t>
      </w:r>
      <w:r w:rsidR="00705BB2">
        <w:t xml:space="preserve">mucin-type O-glycans. The epitope aggregation approach </w:t>
      </w:r>
      <w:r w:rsidR="00A92849">
        <w:t>starts from every terminal monosaccharide and aggregates over large</w:t>
      </w:r>
      <w:r w:rsidR="008B3C14">
        <w:t>r structures. For examples, VIM substructure abundance (Neu5Ac-</w:t>
      </w:r>
      <w:r w:rsidR="00B41278">
        <w:t xml:space="preserve">Gal-GlcNAc) would be added to sialic acid abundance. This type of aggregation focuses </w:t>
      </w:r>
      <w:r w:rsidR="006C32EA">
        <w:t xml:space="preserve">on substructures originating at the </w:t>
      </w:r>
      <w:r w:rsidR="00B3009B">
        <w:t>terminal monosaccharides and therefore can be used to identify relevant epitopes</w:t>
      </w:r>
      <w:r w:rsidR="00CE0225">
        <w:t>.</w:t>
      </w:r>
    </w:p>
    <w:p w14:paraId="48D77FCB" w14:textId="62D57CF2" w:rsidR="00CE0225" w:rsidRPr="003F051C" w:rsidRDefault="00CE0225" w:rsidP="003F051C">
      <w:r>
        <w:t>Finally, compositional substructures</w:t>
      </w:r>
      <w:r w:rsidR="00F84BC7">
        <w:t xml:space="preserve"> are discussed in the context of site-specific N-glycosylation data. The compositional substructure strategy sums over </w:t>
      </w:r>
      <w:r w:rsidR="00CF35F1">
        <w:t xml:space="preserve">larger and subsuming structures in a compositional network. </w:t>
      </w:r>
      <w:r w:rsidR="00A60F1E">
        <w:t xml:space="preserve">Consider the compositional abundance of a structure: </w:t>
      </w:r>
      <w:proofErr w:type="spellStart"/>
      <w:r w:rsidR="00A60F1E">
        <w:t>HexNac</w:t>
      </w:r>
      <w:proofErr w:type="spellEnd"/>
      <w:r w:rsidR="00A60F1E">
        <w:t xml:space="preserve">(I)Hex(J)Fuc(K). </w:t>
      </w:r>
      <w:r w:rsidR="00856A8F">
        <w:t>I</w:t>
      </w:r>
      <w:r w:rsidR="00CF35F1">
        <w:t xml:space="preserve">nstead of abundance of </w:t>
      </w:r>
      <w:proofErr w:type="spellStart"/>
      <w:r w:rsidR="00CF35F1">
        <w:t>HexNAc</w:t>
      </w:r>
      <w:proofErr w:type="spellEnd"/>
      <w:r w:rsidR="00337B04">
        <w:t>=I, Hex=J, and Fuc=K</w:t>
      </w:r>
      <w:r w:rsidR="000321CD">
        <w:t xml:space="preserve">, we examine the compositional abundance for all measurements where </w:t>
      </w:r>
      <w:proofErr w:type="spellStart"/>
      <w:r w:rsidR="000321CD">
        <w:t>HexNAc</w:t>
      </w:r>
      <w:proofErr w:type="spellEnd"/>
      <w:r w:rsidR="000321CD">
        <w:t xml:space="preserve">&gt;=I, Hex&gt;=J, and Fuc&gt;=K. The </w:t>
      </w:r>
      <w:proofErr w:type="spellStart"/>
      <w:r w:rsidR="000321CD">
        <w:t>nextwork</w:t>
      </w:r>
      <w:proofErr w:type="spellEnd"/>
      <w:r w:rsidR="000321CD">
        <w:t xml:space="preserve"> structure can be constrained to provide additional insight (e.g. </w:t>
      </w:r>
      <w:proofErr w:type="spellStart"/>
      <w:r w:rsidR="009152EF" w:rsidRPr="009152EF">
        <w:rPr>
          <w:color w:val="FF0000"/>
        </w:rPr>
        <w:t>Glyconnect</w:t>
      </w:r>
      <w:proofErr w:type="spellEnd"/>
      <w:r w:rsidR="009152EF" w:rsidRPr="009152EF">
        <w:rPr>
          <w:color w:val="FF0000"/>
        </w:rPr>
        <w:t xml:space="preserve"> </w:t>
      </w:r>
      <w:proofErr w:type="spellStart"/>
      <w:r w:rsidR="009152EF" w:rsidRPr="009152EF">
        <w:rPr>
          <w:color w:val="FF0000"/>
        </w:rPr>
        <w:t>Compozitor</w:t>
      </w:r>
      <w:proofErr w:type="spellEnd"/>
      <w:r w:rsidR="009152EF">
        <w:t xml:space="preserve">). But </w:t>
      </w:r>
      <w:r w:rsidR="00E9197C">
        <w:t xml:space="preserve">currently, </w:t>
      </w:r>
      <w:r w:rsidR="009152EF">
        <w:t xml:space="preserve">the aggregation criteria </w:t>
      </w:r>
      <w:proofErr w:type="gramStart"/>
      <w:r w:rsidR="009152EF">
        <w:t>remains</w:t>
      </w:r>
      <w:proofErr w:type="gramEnd"/>
      <w:r w:rsidR="009152EF">
        <w:t xml:space="preserve"> simple.</w:t>
      </w:r>
    </w:p>
    <w:p w14:paraId="0B34CCF7" w14:textId="77777777" w:rsidR="0007136D" w:rsidRPr="00CB558B" w:rsidRDefault="0007136D" w:rsidP="00872839">
      <w:pPr>
        <w:ind w:firstLine="360"/>
      </w:pPr>
    </w:p>
    <w:p w14:paraId="1FB33DB3" w14:textId="18CCC179" w:rsidR="00CB558B" w:rsidRPr="00CB558B" w:rsidRDefault="00CB558B" w:rsidP="003C56AF">
      <w:pPr>
        <w:pStyle w:val="ListParagraph"/>
      </w:pPr>
    </w:p>
    <w:p w14:paraId="2115D93F" w14:textId="5E3BFB16" w:rsidR="00CB558B" w:rsidRPr="00CB558B" w:rsidRDefault="00CB558B" w:rsidP="00CB558B"/>
    <w:p w14:paraId="3E1C537C" w14:textId="5FBB8361" w:rsidR="00CB558B" w:rsidRPr="00CB558B" w:rsidRDefault="00CB558B" w:rsidP="00CB558B"/>
    <w:p w14:paraId="37ABF715" w14:textId="5B32A81C" w:rsidR="00CB558B" w:rsidRPr="00CB558B" w:rsidRDefault="00CB558B" w:rsidP="00CB558B"/>
    <w:p w14:paraId="41681EF3" w14:textId="527835E1" w:rsidR="00CB558B" w:rsidRPr="00CB558B" w:rsidRDefault="00CB558B" w:rsidP="00CB558B"/>
    <w:p w14:paraId="68B7DE44" w14:textId="70D6B543" w:rsidR="00CB558B" w:rsidRPr="00CB558B" w:rsidRDefault="00CB558B" w:rsidP="00CB558B"/>
    <w:p w14:paraId="77F4AE04" w14:textId="00C4D834" w:rsidR="00CB558B" w:rsidRPr="00CB558B" w:rsidRDefault="00CB558B" w:rsidP="00CB558B"/>
    <w:p w14:paraId="1AA6E30A" w14:textId="0F60A731" w:rsidR="00CB558B" w:rsidRPr="00CB558B" w:rsidRDefault="00CB558B" w:rsidP="00CB558B"/>
    <w:p w14:paraId="09FAB664" w14:textId="7233E345" w:rsidR="00CB558B" w:rsidRPr="00CB558B" w:rsidRDefault="00CB558B" w:rsidP="00CB558B"/>
    <w:p w14:paraId="4BA2B475" w14:textId="3BF1BB67" w:rsidR="00CB558B" w:rsidRPr="00CB558B" w:rsidRDefault="00CB558B" w:rsidP="00CB558B"/>
    <w:p w14:paraId="43AF4286" w14:textId="77777777" w:rsidR="00CB558B" w:rsidRPr="00CB558B" w:rsidRDefault="00CB558B" w:rsidP="00CB558B"/>
    <w:sectPr w:rsidR="00CB558B" w:rsidRPr="00CB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n Kellman" w:date="2020-09-17T00:06:00Z" w:initials="BK">
    <w:p w14:paraId="3A028BD5" w14:textId="77777777" w:rsidR="00D0171D" w:rsidRDefault="00D0171D" w:rsidP="00D0171D">
      <w:pPr>
        <w:pStyle w:val="c-bibliographic-informationcitation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22222"/>
        </w:rPr>
      </w:pPr>
      <w:r>
        <w:rPr>
          <w:rStyle w:val="CommentReference"/>
        </w:rPr>
        <w:annotationRef/>
      </w:r>
      <w:r>
        <w:rPr>
          <w:rFonts w:ascii="Segoe UI" w:hAnsi="Segoe UI" w:cs="Segoe UI"/>
          <w:color w:val="222222"/>
        </w:rPr>
        <w:t xml:space="preserve">Riley, N.M., Hebert, A.S., </w:t>
      </w:r>
      <w:proofErr w:type="spellStart"/>
      <w:r>
        <w:rPr>
          <w:rFonts w:ascii="Segoe UI" w:hAnsi="Segoe UI" w:cs="Segoe UI"/>
          <w:color w:val="222222"/>
        </w:rPr>
        <w:t>Westphall</w:t>
      </w:r>
      <w:proofErr w:type="spellEnd"/>
      <w:r>
        <w:rPr>
          <w:rFonts w:ascii="Segoe UI" w:hAnsi="Segoe UI" w:cs="Segoe UI"/>
          <w:color w:val="222222"/>
        </w:rPr>
        <w:t>, M.S. </w:t>
      </w:r>
      <w:r>
        <w:rPr>
          <w:rFonts w:ascii="Segoe UI" w:hAnsi="Segoe UI" w:cs="Segoe UI"/>
          <w:i/>
          <w:iCs/>
          <w:color w:val="222222"/>
        </w:rPr>
        <w:t>et al.</w:t>
      </w:r>
      <w:r>
        <w:rPr>
          <w:rFonts w:ascii="Segoe UI" w:hAnsi="Segoe UI" w:cs="Segoe UI"/>
          <w:color w:val="222222"/>
        </w:rPr>
        <w:t> Capturing site-specific heterogeneity with large-scale N-glycoproteome analysis. </w:t>
      </w:r>
      <w:r>
        <w:rPr>
          <w:rFonts w:ascii="Segoe UI" w:hAnsi="Segoe UI" w:cs="Segoe UI"/>
          <w:i/>
          <w:iCs/>
          <w:color w:val="222222"/>
        </w:rPr>
        <w:t xml:space="preserve">Nat </w:t>
      </w:r>
      <w:proofErr w:type="spellStart"/>
      <w:r>
        <w:rPr>
          <w:rFonts w:ascii="Segoe UI" w:hAnsi="Segoe UI" w:cs="Segoe UI"/>
          <w:i/>
          <w:iCs/>
          <w:color w:val="222222"/>
        </w:rPr>
        <w:t>Commun</w:t>
      </w:r>
      <w:proofErr w:type="spellEnd"/>
      <w:r>
        <w:rPr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b/>
          <w:bCs/>
          <w:color w:val="222222"/>
        </w:rPr>
        <w:t>10, </w:t>
      </w:r>
      <w:r>
        <w:rPr>
          <w:rFonts w:ascii="Segoe UI" w:hAnsi="Segoe UI" w:cs="Segoe UI"/>
          <w:color w:val="222222"/>
        </w:rPr>
        <w:t>1311 (2019). https://doi.org/10.1038/s41467-019-09222-w</w:t>
      </w:r>
    </w:p>
    <w:p w14:paraId="60E73BD7" w14:textId="21EFA476" w:rsidR="00D0171D" w:rsidRDefault="00D0171D">
      <w:pPr>
        <w:pStyle w:val="CommentText"/>
      </w:pPr>
    </w:p>
  </w:comment>
  <w:comment w:id="1" w:author="Ben Kellman" w:date="2020-09-17T00:07:00Z" w:initials="BK">
    <w:p w14:paraId="1FB762CF" w14:textId="50EDDBB4" w:rsidR="007C035C" w:rsidRPr="007C035C" w:rsidRDefault="007C035C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t xml:space="preserve">DOI 10.1074/ mcp.M117.067983 </w:t>
      </w:r>
    </w:p>
  </w:comment>
  <w:comment w:id="2" w:author="Ben Kellman" w:date="2020-09-17T00:05:00Z" w:initials="BK">
    <w:p w14:paraId="307627D7" w14:textId="5E9D68E0" w:rsidR="00987BA8" w:rsidRDefault="00987BA8">
      <w:pPr>
        <w:pStyle w:val="CommentText"/>
      </w:pPr>
      <w:r>
        <w:rPr>
          <w:rStyle w:val="CommentReference"/>
        </w:rPr>
        <w:annotationRef/>
      </w:r>
      <w:proofErr w:type="gramStart"/>
      <w:r>
        <w:t>DOI:10.1371/journal.pone</w:t>
      </w:r>
      <w:proofErr w:type="gramEnd"/>
      <w:r>
        <w:t>.0168794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E73BD7" w15:done="0"/>
  <w15:commentEx w15:paraId="1FB762CF" w15:done="0"/>
  <w15:commentEx w15:paraId="307627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E73BD7" w16cid:durableId="230D26F4"/>
  <w16cid:commentId w16cid:paraId="1FB762CF" w16cid:durableId="230D272F"/>
  <w16cid:commentId w16cid:paraId="307627D7" w16cid:durableId="230D26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546B"/>
    <w:multiLevelType w:val="hybridMultilevel"/>
    <w:tmpl w:val="371EF01C"/>
    <w:lvl w:ilvl="0" w:tplc="5E544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66B0"/>
    <w:multiLevelType w:val="hybridMultilevel"/>
    <w:tmpl w:val="EF787870"/>
    <w:lvl w:ilvl="0" w:tplc="35B49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 Kellman">
    <w15:presenceInfo w15:providerId="Windows Live" w15:userId="4418f2174b6c79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P316D466Z757W577"/>
    <w:docVar w:name="paperpile-doc-name" w:val="writeup.docx"/>
  </w:docVars>
  <w:rsids>
    <w:rsidRoot w:val="000439F5"/>
    <w:rsid w:val="00003472"/>
    <w:rsid w:val="00010979"/>
    <w:rsid w:val="00011D49"/>
    <w:rsid w:val="000321CD"/>
    <w:rsid w:val="000439F5"/>
    <w:rsid w:val="00052651"/>
    <w:rsid w:val="0007136D"/>
    <w:rsid w:val="000735A3"/>
    <w:rsid w:val="000A1110"/>
    <w:rsid w:val="000C6910"/>
    <w:rsid w:val="0012103A"/>
    <w:rsid w:val="00142E28"/>
    <w:rsid w:val="00144683"/>
    <w:rsid w:val="00155FF0"/>
    <w:rsid w:val="001927DC"/>
    <w:rsid w:val="00193400"/>
    <w:rsid w:val="001A6CCA"/>
    <w:rsid w:val="001C2659"/>
    <w:rsid w:val="002351BB"/>
    <w:rsid w:val="002B58DC"/>
    <w:rsid w:val="002B62AB"/>
    <w:rsid w:val="002D6D17"/>
    <w:rsid w:val="00304542"/>
    <w:rsid w:val="003334C4"/>
    <w:rsid w:val="00337811"/>
    <w:rsid w:val="00337B04"/>
    <w:rsid w:val="00380134"/>
    <w:rsid w:val="00393053"/>
    <w:rsid w:val="003B60C3"/>
    <w:rsid w:val="003C56AF"/>
    <w:rsid w:val="003F051C"/>
    <w:rsid w:val="003F0A1B"/>
    <w:rsid w:val="00410D6C"/>
    <w:rsid w:val="00433D48"/>
    <w:rsid w:val="004C2FEF"/>
    <w:rsid w:val="004D0597"/>
    <w:rsid w:val="00580F55"/>
    <w:rsid w:val="00580FF8"/>
    <w:rsid w:val="005A1541"/>
    <w:rsid w:val="005C4861"/>
    <w:rsid w:val="0063486E"/>
    <w:rsid w:val="00636058"/>
    <w:rsid w:val="006547B3"/>
    <w:rsid w:val="00664441"/>
    <w:rsid w:val="006753B7"/>
    <w:rsid w:val="006C32EA"/>
    <w:rsid w:val="00705BB2"/>
    <w:rsid w:val="0073130F"/>
    <w:rsid w:val="00732CC3"/>
    <w:rsid w:val="007A043E"/>
    <w:rsid w:val="007C035C"/>
    <w:rsid w:val="00802FF2"/>
    <w:rsid w:val="0080622F"/>
    <w:rsid w:val="00807E86"/>
    <w:rsid w:val="00851C5A"/>
    <w:rsid w:val="00856A8F"/>
    <w:rsid w:val="00872839"/>
    <w:rsid w:val="008830F7"/>
    <w:rsid w:val="0088484A"/>
    <w:rsid w:val="008B1DF5"/>
    <w:rsid w:val="008B3C14"/>
    <w:rsid w:val="008C610D"/>
    <w:rsid w:val="009152EF"/>
    <w:rsid w:val="00955D0C"/>
    <w:rsid w:val="00987BA8"/>
    <w:rsid w:val="009B64F0"/>
    <w:rsid w:val="009C2E7C"/>
    <w:rsid w:val="009D6F7E"/>
    <w:rsid w:val="00A46719"/>
    <w:rsid w:val="00A5532D"/>
    <w:rsid w:val="00A60F1E"/>
    <w:rsid w:val="00A92849"/>
    <w:rsid w:val="00AA6E06"/>
    <w:rsid w:val="00AE3404"/>
    <w:rsid w:val="00B3009B"/>
    <w:rsid w:val="00B41278"/>
    <w:rsid w:val="00BC2C0A"/>
    <w:rsid w:val="00BC4632"/>
    <w:rsid w:val="00BE36C4"/>
    <w:rsid w:val="00C17D39"/>
    <w:rsid w:val="00C37657"/>
    <w:rsid w:val="00C4200D"/>
    <w:rsid w:val="00C50243"/>
    <w:rsid w:val="00C64499"/>
    <w:rsid w:val="00C76591"/>
    <w:rsid w:val="00CB2FF1"/>
    <w:rsid w:val="00CB4980"/>
    <w:rsid w:val="00CB558B"/>
    <w:rsid w:val="00CE0225"/>
    <w:rsid w:val="00CF35F1"/>
    <w:rsid w:val="00D0171D"/>
    <w:rsid w:val="00D55588"/>
    <w:rsid w:val="00DD0B4A"/>
    <w:rsid w:val="00DE0EBC"/>
    <w:rsid w:val="00DF4ADF"/>
    <w:rsid w:val="00E40212"/>
    <w:rsid w:val="00E4295B"/>
    <w:rsid w:val="00E576EB"/>
    <w:rsid w:val="00E57F52"/>
    <w:rsid w:val="00E9197C"/>
    <w:rsid w:val="00EC095B"/>
    <w:rsid w:val="00ED44A1"/>
    <w:rsid w:val="00F108A2"/>
    <w:rsid w:val="00F10B83"/>
    <w:rsid w:val="00F52600"/>
    <w:rsid w:val="00F8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9A8E"/>
  <w15:chartTrackingRefBased/>
  <w15:docId w15:val="{2D0CC61E-22B5-428E-B4D5-95CE6373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6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7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B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B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BA8"/>
    <w:rPr>
      <w:b/>
      <w:bCs/>
      <w:sz w:val="20"/>
      <w:szCs w:val="20"/>
    </w:rPr>
  </w:style>
  <w:style w:type="paragraph" w:customStyle="1" w:styleId="c-bibliographic-informationcitation">
    <w:name w:val="c-bibliographic-information__citation"/>
    <w:basedOn w:val="Normal"/>
    <w:rsid w:val="00D0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3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 Kellman</dc:creator>
  <cp:keywords/>
  <dc:description/>
  <cp:lastModifiedBy>Ben Kellman</cp:lastModifiedBy>
  <cp:revision>105</cp:revision>
  <dcterms:created xsi:type="dcterms:W3CDTF">2020-09-09T05:05:00Z</dcterms:created>
  <dcterms:modified xsi:type="dcterms:W3CDTF">2020-09-17T07:11:00Z</dcterms:modified>
</cp:coreProperties>
</file>