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40"/>
        </w:rPr>
        <w:t>N2C Expanded WBS — Data Quality &amp; Integrity Analysis Report</w:t>
      </w:r>
    </w:p>
    <w:p>
      <w:pPr>
        <w:spacing w:after="80"/>
      </w:pPr>
      <w:r>
        <w:rPr>
          <w:b/>
        </w:rPr>
        <w:t>Source workbook:</w:t>
      </w:r>
      <w:r>
        <w:t xml:space="preserve"> </w:t>
      </w:r>
      <w:r>
        <w:rPr>
          <w:rFonts w:ascii="Consolas" w:hAnsi="Consolas"/>
          <w:color w:val="B03030"/>
          <w:sz w:val="19"/>
        </w:rPr>
        <w:t>9d102f1d-N2C_Expanded_WBS.xlsx</w:t>
      </w:r>
    </w:p>
    <w:p>
      <w:pPr>
        <w:spacing w:after="80"/>
      </w:pPr>
      <w:r>
        <w:rPr>
          <w:b/>
        </w:rPr>
        <w:t>Analysis date:</w:t>
      </w:r>
      <w:r>
        <w:t xml:space="preserve"> 2026-06-30</w:t>
      </w:r>
    </w:p>
    <w:p>
      <w:pPr>
        <w:spacing w:after="80"/>
      </w:pPr>
      <w:r>
        <w:rPr>
          <w:b/>
        </w:rPr>
        <w:t>Scope:</w:t>
      </w:r>
      <w:r>
        <w:t xml:space="preserve"> All 17 delivery WBS sheets + 4 reference tabs (</w:t>
      </w:r>
      <w:r>
        <w:rPr>
          <w:rFonts w:ascii="Consolas" w:hAnsi="Consolas"/>
          <w:color w:val="B03030"/>
          <w:sz w:val="19"/>
        </w:rPr>
        <w:t>Overview</w:t>
      </w:r>
      <w:r>
        <w:t xml:space="preserve">, </w:t>
      </w:r>
      <w:r>
        <w:rPr>
          <w:rFonts w:ascii="Consolas" w:hAnsi="Consolas"/>
          <w:color w:val="B03030"/>
          <w:sz w:val="19"/>
        </w:rPr>
        <w:t>Mapping</w:t>
      </w:r>
      <w:r>
        <w:t xml:space="preserve">, </w:t>
      </w:r>
      <w:r>
        <w:rPr>
          <w:rFonts w:ascii="Consolas" w:hAnsi="Consolas"/>
          <w:color w:val="B03030"/>
          <w:sz w:val="19"/>
        </w:rPr>
        <w:t>Roles &amp; SFIA</w:t>
      </w:r>
      <w:r>
        <w:t xml:space="preserve">, </w:t>
      </w:r>
      <w:r>
        <w:rPr>
          <w:rFonts w:ascii="Consolas" w:hAnsi="Consolas"/>
          <w:color w:val="B03030"/>
          <w:sz w:val="19"/>
        </w:rPr>
        <w:t>References</w:t>
      </w:r>
      <w:r>
        <w:t>)</w:t>
      </w:r>
    </w:p>
    <w:p>
      <w:pPr>
        <w:spacing w:after="80"/>
      </w:pPr>
      <w:r>
        <w:rPr>
          <w:b/>
        </w:rPr>
        <w:t>Leaf tasks analysed:</w:t>
      </w:r>
      <w:r>
        <w:t xml:space="preserve"> 5,526</w:t>
      </w:r>
    </w:p>
    <w:p>
      <w:pPr>
        <w:spacing w:after="80"/>
      </w:pPr>
      <w:r>
        <w:rPr>
          <w:b/>
        </w:rPr>
        <w:t>Total issues raised:</w:t>
      </w:r>
      <w:r>
        <w:t xml:space="preserve"> 5,055 — </w:t>
      </w:r>
      <w:r>
        <w:rPr>
          <w:b/>
        </w:rPr>
        <w:t>2 High · 5,032 Medium · 21 Low</w:t>
      </w:r>
    </w:p>
    <w:p>
      <w:pPr>
        <w:spacing w:after="80"/>
      </w:pPr>
      <w:r>
        <w:t>This report replicates the LTQ functionality-integration analysis approach: a full, traceable issues</w:t>
      </w:r>
    </w:p>
    <w:p>
      <w:pPr>
        <w:spacing w:after="80"/>
      </w:pPr>
      <w:r>
        <w:t>list plus a detailed write-up showing the exact trace steps used to derive every finding, so each</w:t>
      </w:r>
    </w:p>
    <w:p>
      <w:pPr>
        <w:spacing w:after="80"/>
      </w:pPr>
      <w:r>
        <w:t>result can be reproduced cell-for-cell. The companion artefacts are: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Artefact</w:t>
            </w:r>
          </w:p>
        </w:tc>
        <w:tc>
          <w:tcPr>
            <w:tcW w:type="dxa" w:w="4824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03030"/>
                <w:sz w:val="19"/>
              </w:rPr>
              <w:t>N2C_WBS_Issues_Register.xlsx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t>Formatted, filterable register — Summary tab + 5,055-row Issue List with cell references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03030"/>
                <w:sz w:val="19"/>
              </w:rPr>
              <w:t>N2C_WBS_Issues_List.csv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t>Same issues as plain CSV (full list)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03030"/>
                <w:sz w:val="19"/>
              </w:rPr>
              <w:t>analysis/audit.py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t>The reproducible analysis engine — re-run to regenerate every number in this report</w:t>
            </w:r>
          </w:p>
        </w:tc>
      </w:tr>
    </w:tbl>
    <w:p>
      <w:pPr>
        <w:spacing w:after="80"/>
      </w:pPr>
    </w:p>
    <w:p>
      <w:pPr>
        <w:spacing w:after="0"/>
      </w:pPr>
    </w:p>
    <w:p>
      <w:pPr>
        <w:pBdr>
          <w:bottom w:val="single" w:sz="6" w:space="2" w:color="1F3864"/>
        </w:pBdr>
        <w:spacing w:before="160" w:after="80"/>
      </w:pPr>
      <w:r>
        <w:rPr>
          <w:b/>
          <w:color w:val="1F3864"/>
          <w:sz w:val="30"/>
        </w:rPr>
        <w:t>1. What the workbook is</w:t>
      </w:r>
    </w:p>
    <w:p>
      <w:pPr>
        <w:spacing w:after="80"/>
      </w:pPr>
      <w:r>
        <w:t>The N2C Expanded WBS is a 5-year resource/effort model for a managed-service / secure-platform</w:t>
      </w:r>
    </w:p>
    <w:p>
      <w:pPr>
        <w:spacing w:after="80"/>
      </w:pPr>
      <w:r>
        <w:t>programme. Each delivery area is a sheet (DLZ, Data Feeds, DARKSTAR OCD, AIP on ACHE Build &amp; Sites</w:t>
      </w:r>
    </w:p>
    <w:p>
      <w:pPr>
        <w:spacing w:after="80"/>
      </w:pPr>
      <w:r>
        <w:t>1–3, T&amp;R on ACHE Site 2, Local Site, STRATA, NEXUS, BLACK KNIGHT, Service Management, NOC, Service</w:t>
      </w:r>
    </w:p>
    <w:p>
      <w:pPr>
        <w:spacing w:after="80"/>
      </w:pPr>
      <w:r>
        <w:t>Desk, Security, Governance). Every delivery sheet shares an identical 24-column schema:</w:t>
      </w:r>
    </w:p>
    <w:p>
      <w:pPr>
        <w:spacing w:after="80"/>
      </w:pPr>
      <w:r>
        <w:rPr>
          <w:rFonts w:ascii="Consolas" w:hAnsi="Consolas"/>
          <w:color w:val="B03030"/>
          <w:sz w:val="19"/>
        </w:rPr>
        <w:t>`</w:t>
      </w:r>
    </w:p>
    <w:p>
      <w:pPr>
        <w:spacing w:after="80"/>
      </w:pPr>
      <w:r>
        <w:t>Column1 | Frequency | Optimistic | Most Likely | Pessimistic | Estimate |</w:t>
      </w:r>
    </w:p>
    <w:p>
      <w:pPr>
        <w:spacing w:after="80"/>
      </w:pPr>
      <w:r>
        <w:t>Annual Effort (Days) | Annual Effort (% of FTE) | Total FTE to action |</w:t>
      </w:r>
    </w:p>
    <w:p>
      <w:pPr>
        <w:spacing w:after="80"/>
      </w:pPr>
      <w:r>
        <w:t>Role 1 | SFIA | … | Role 5 | SFIA5 | Activity | Start Date | End Date | Contract Year | Team</w:t>
      </w:r>
    </w:p>
    <w:p>
      <w:pPr>
        <w:spacing w:after="80"/>
      </w:pPr>
      <w:r>
        <w:rPr>
          <w:rFonts w:ascii="Consolas" w:hAnsi="Consolas"/>
          <w:color w:val="B03030"/>
          <w:sz w:val="19"/>
        </w:rPr>
        <w:t>`</w:t>
      </w:r>
    </w:p>
    <w:p>
      <w:pPr>
        <w:spacing w:before="120" w:after="40"/>
      </w:pPr>
      <w:r>
        <w:rPr>
          <w:b/>
          <w:color w:val="2E5597"/>
          <w:sz w:val="24"/>
        </w:rPr>
        <w:t>1.1 The calculation model (reverse-engineered and verified)</w:t>
      </w:r>
    </w:p>
    <w:p>
      <w:pPr>
        <w:spacing w:after="80"/>
      </w:pPr>
      <w:r>
        <w:t>The trace below establishes the rules every leaf row is expected to obey. These rules were validated</w:t>
      </w:r>
    </w:p>
    <w:p>
      <w:pPr>
        <w:spacing w:after="80"/>
      </w:pPr>
      <w:r>
        <w:t>against known-good rows before being used to test the whole workbook.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216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3216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</w:rPr>
              <w:t>Estimate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 xml:space="preserve">PERT = </w:t>
            </w:r>
            <w:r>
              <w:rPr>
                <w:rFonts w:ascii="Consolas" w:hAnsi="Consolas"/>
                <w:color w:val="B03030"/>
                <w:sz w:val="19"/>
              </w:rPr>
              <w:t>(Optimistic + 4×MostLikely + Pessimistic) / 6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 xml:space="preserve">DLZ R4: (5+40+15)/6 = </w:t>
            </w:r>
            <w:r>
              <w:rPr>
                <w:b/>
              </w:rPr>
              <w:t>10</w:t>
            </w:r>
            <w:r>
              <w:t xml:space="preserve"> ✓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</w:rPr>
              <w:t>Annual Effort (Days)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03030"/>
                <w:sz w:val="19"/>
              </w:rPr>
              <w:t>Estimate × Frequency-multiplier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 xml:space="preserve">DLZ R4: 10 × Monthly(12) = </w:t>
            </w:r>
            <w:r>
              <w:rPr>
                <w:b/>
              </w:rPr>
              <w:t>120</w:t>
            </w:r>
            <w:r>
              <w:t xml:space="preserve"> ✓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</w:rPr>
              <w:t>Annual Effort (% of FTE)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03030"/>
                <w:sz w:val="19"/>
              </w:rPr>
              <w:t>Annual Effort (Days) / 220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 xml:space="preserve">120 / 220 = </w:t>
            </w:r>
            <w:r>
              <w:rPr>
                <w:b/>
              </w:rPr>
              <w:t>0.5455</w:t>
            </w:r>
            <w:r>
              <w:t xml:space="preserve"> ✓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</w:rPr>
              <w:t>Total FTE to action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03030"/>
                <w:sz w:val="19"/>
              </w:rPr>
              <w:t>% of FTE × (number of named resources)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 xml:space="preserve">DLZ R4: 0.5455 × 2 roles = </w:t>
            </w:r>
            <w:r>
              <w:rPr>
                <w:b/>
              </w:rPr>
              <w:t>1.0909</w:t>
            </w:r>
            <w:r>
              <w:t xml:space="preserve"> ✓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</w:rPr>
              <w:t>Frequency multipliers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 xml:space="preserve">from </w:t>
            </w:r>
            <w:r>
              <w:rPr>
                <w:rFonts w:ascii="Consolas" w:hAnsi="Consolas"/>
                <w:color w:val="B03030"/>
                <w:sz w:val="19"/>
              </w:rPr>
              <w:t>Mapping</w:t>
            </w:r>
            <w:r>
              <w:t xml:space="preserve"> tab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Fortnightly 26, Monthly 12, Weekly 52, Quarterly 4, Half-yearly 2, Yearly 1, One-off 1, Daily(Mon-Fri) 253, Daily(24×7) 365, Twice/Three-times-a-week 104/156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</w:rPr>
        <w:t>Headline positive:</w:t>
      </w:r>
      <w:r>
        <w:t xml:space="preserve"> every computed field that *can* be checked against these rules is internally</w:t>
      </w:r>
    </w:p>
    <w:p>
      <w:pPr>
        <w:spacing w:after="80"/>
      </w:pPr>
      <w:r>
        <w:t xml:space="preserve">consistent — </w:t>
      </w:r>
      <w:r>
        <w:rPr>
          <w:b/>
        </w:rPr>
        <w:t>0 PERT errors, 0 Annual-Effort-Days errors, 0 %FTE errors across all 5,526 tasks.</w:t>
      </w:r>
    </w:p>
    <w:p>
      <w:pPr>
        <w:spacing w:after="80"/>
      </w:pPr>
      <w:r>
        <w:t>The arithmetic engine is sound. All the issues below are about **data hygiene, resourcing logic, and</w:t>
      </w:r>
    </w:p>
    <w:p>
      <w:pPr>
        <w:spacing w:after="80"/>
      </w:pPr>
      <w:r>
        <w:t>cross-tab integrity**, not broken formulas.</w:t>
      </w:r>
    </w:p>
    <w:p>
      <w:pPr>
        <w:spacing w:before="120" w:after="40"/>
      </w:pPr>
      <w:r>
        <w:rPr>
          <w:b/>
          <w:color w:val="2E5597"/>
          <w:sz w:val="24"/>
        </w:rPr>
        <w:t>1.2 Programme totals derived from the model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824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t>Total annual effort (days, summed across all years)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b/>
              </w:rPr>
              <w:t>41,452 days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t>Total FTE-to-action (summed)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rPr>
                <w:b/>
              </w:rPr>
              <w:t>304.3 FTE-years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t>Effort by contract year (days)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t>Y1 5,540 · Y2 8,383 · Y3 8,524 · Y4 9,664 · Y5 9,307 · (untagged 33)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t>Largest demand roles (FTE)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t>NOC Engineer 60.4 · Platform Engineer 45.1 · Infrastructure Engineer 39.3 · Security Engineer 20.2 · Security Architect 19.8</w:t>
            </w:r>
          </w:p>
        </w:tc>
      </w:tr>
    </w:tbl>
    <w:p>
      <w:pPr>
        <w:spacing w:after="80"/>
      </w:pPr>
    </w:p>
    <w:p>
      <w:pPr>
        <w:spacing w:after="0"/>
      </w:pPr>
    </w:p>
    <w:p>
      <w:pPr>
        <w:pBdr>
          <w:bottom w:val="single" w:sz="6" w:space="2" w:color="1F3864"/>
        </w:pBdr>
        <w:spacing w:before="160" w:after="80"/>
      </w:pPr>
      <w:r>
        <w:rPr>
          <w:b/>
          <w:color w:val="1F3864"/>
          <w:sz w:val="30"/>
        </w:rPr>
        <w:t>2. Methodology — how the analysis was run</w:t>
      </w:r>
    </w:p>
    <w:p>
      <w:pPr>
        <w:pStyle w:val="ListNumber"/>
        <w:spacing w:after="20"/>
      </w:pPr>
      <w:r>
        <w:rPr>
          <w:b/>
        </w:rPr>
        <w:t>Load</w:t>
      </w:r>
      <w:r>
        <w:t xml:space="preserve"> the workbook with values resolved (</w:t>
      </w:r>
      <w:r>
        <w:rPr>
          <w:rFonts w:ascii="Consolas" w:hAnsi="Consolas"/>
          <w:color w:val="B03030"/>
          <w:sz w:val="19"/>
        </w:rPr>
        <w:t>data_only=True</w:t>
      </w:r>
      <w:r>
        <w:t>) so computed cells are read as their</w:t>
      </w:r>
    </w:p>
    <w:p>
      <w:pPr>
        <w:spacing w:after="80"/>
      </w:pPr>
      <w:r>
        <w:t>stored results, not formulas.</w:t>
      </w:r>
    </w:p>
    <w:p>
      <w:pPr>
        <w:pStyle w:val="ListNumber"/>
        <w:spacing w:after="20"/>
      </w:pPr>
      <w:r>
        <w:rPr>
          <w:b/>
        </w:rPr>
        <w:t>Classify</w:t>
      </w:r>
      <w:r>
        <w:t xml:space="preserve"> every row: a row is a </w:t>
      </w:r>
      <w:r>
        <w:rPr>
          <w:b/>
        </w:rPr>
        <w:t>leaf task</w:t>
      </w:r>
      <w:r>
        <w:t xml:space="preserve"> if its </w:t>
      </w:r>
      <w:r>
        <w:rPr>
          <w:rFonts w:ascii="Consolas" w:hAnsi="Consolas"/>
          <w:color w:val="B03030"/>
          <w:sz w:val="19"/>
        </w:rPr>
        <w:t>Frequency</w:t>
      </w:r>
      <w:r>
        <w:t xml:space="preserve"> cell is populated; rows with an</w:t>
      </w:r>
    </w:p>
    <w:p>
      <w:pPr>
        <w:spacing w:after="80"/>
      </w:pPr>
      <w:r>
        <w:t>empty Frequency are section/activity headers and are skipped from arithmetic checks.</w:t>
      </w:r>
    </w:p>
    <w:p>
      <w:pPr>
        <w:pStyle w:val="ListNumber"/>
        <w:spacing w:after="20"/>
      </w:pPr>
      <w:r>
        <w:rPr>
          <w:b/>
        </w:rPr>
        <w:t>Track block context</w:t>
      </w:r>
      <w:r>
        <w:t xml:space="preserve"> while scanning: any Column1 value containing </w:t>
      </w:r>
      <w:r>
        <w:rPr>
          <w:rFonts w:ascii="Consolas" w:hAnsi="Consolas"/>
          <w:color w:val="B03030"/>
          <w:sz w:val="19"/>
        </w:rPr>
        <w:t>CONTRACT YEAR n</w:t>
      </w:r>
      <w:r>
        <w:t xml:space="preserve"> sets the</w:t>
      </w:r>
    </w:p>
    <w:p>
      <w:pPr>
        <w:spacing w:after="80"/>
      </w:pPr>
      <w:r>
        <w:t>current block, so each leaf can be tested against the year it sits under.</w:t>
      </w:r>
    </w:p>
    <w:p>
      <w:pPr>
        <w:pStyle w:val="ListNumber"/>
        <w:spacing w:after="20"/>
      </w:pPr>
      <w:r>
        <w:rPr>
          <w:b/>
        </w:rPr>
        <w:t>Apply 14 validation rules</w:t>
      </w:r>
      <w:r>
        <w:t xml:space="preserve"> (Section 4) to each leaf, recording every breach with its exact</w:t>
      </w:r>
    </w:p>
    <w:p>
      <w:pPr>
        <w:spacing w:after="80"/>
      </w:pPr>
      <w:r>
        <w:rPr>
          <w:rFonts w:ascii="Consolas" w:hAnsi="Consolas"/>
          <w:color w:val="B03030"/>
          <w:sz w:val="19"/>
        </w:rPr>
        <w:t>Sheet!Row</w:t>
      </w:r>
      <w:r>
        <w:t xml:space="preserve"> location and the evidence that triggered it.</w:t>
      </w:r>
    </w:p>
    <w:p>
      <w:pPr>
        <w:pStyle w:val="ListNumber"/>
        <w:spacing w:after="20"/>
      </w:pPr>
      <w:r>
        <w:rPr>
          <w:b/>
        </w:rPr>
        <w:t>Cross-tab checks</w:t>
      </w:r>
      <w:r>
        <w:t xml:space="preserve">: roles used in the WBS vs the </w:t>
      </w:r>
      <w:r>
        <w:rPr>
          <w:rFonts w:ascii="Consolas" w:hAnsi="Consolas"/>
          <w:color w:val="B03030"/>
          <w:sz w:val="19"/>
        </w:rPr>
        <w:t>Roles &amp; SFIA</w:t>
      </w:r>
      <w:r>
        <w:t xml:space="preserve"> master list; FTE roll-up vs the</w:t>
      </w:r>
    </w:p>
    <w:p>
      <w:pPr>
        <w:spacing w:after="80"/>
      </w:pPr>
      <w:r>
        <w:t>summary tab; SFIA-level consistency for each role.</w:t>
      </w:r>
    </w:p>
    <w:p>
      <w:pPr>
        <w:pStyle w:val="ListNumber"/>
        <w:spacing w:after="20"/>
      </w:pPr>
      <w:r>
        <w:rPr>
          <w:b/>
        </w:rPr>
        <w:t>Calibrate</w:t>
      </w:r>
      <w:r>
        <w:t xml:space="preserve"> noisy checks against ground truth — the contract-year and duplicate checks were</w:t>
      </w:r>
    </w:p>
    <w:p>
      <w:pPr>
        <w:spacing w:after="80"/>
      </w:pPr>
      <w:r>
        <w:t>tightened (see 4.10 / 4.12) to eliminate false positives before publishing counts.</w:t>
      </w:r>
    </w:p>
    <w:p>
      <w:pPr>
        <w:spacing w:after="0"/>
      </w:pPr>
    </w:p>
    <w:p>
      <w:pPr>
        <w:pBdr>
          <w:bottom w:val="single" w:sz="6" w:space="2" w:color="1F3864"/>
        </w:pBdr>
        <w:spacing w:before="160" w:after="80"/>
      </w:pPr>
      <w:r>
        <w:rPr>
          <w:b/>
          <w:color w:val="1F3864"/>
          <w:sz w:val="30"/>
        </w:rPr>
        <w:t>3. Issue summary</w:t>
      </w:r>
    </w:p>
    <w:p>
      <w:pPr>
        <w:spacing w:before="120" w:after="40"/>
      </w:pPr>
      <w:r>
        <w:rPr>
          <w:b/>
          <w:color w:val="2E5597"/>
          <w:sz w:val="24"/>
        </w:rPr>
        <w:t>3.1 By severity &amp; category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3216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216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3216"/>
            <w:shd w:val="clear" w:fill="F4CCCC"/>
          </w:tcPr>
          <w:p>
            <w:pPr>
              <w:spacing w:after="40" w:before="40"/>
            </w:pPr>
            <w:r/>
            <w:r>
              <w:t>🔴 High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End Date before Start Date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2</w:t>
            </w:r>
          </w:p>
        </w:tc>
      </w:tr>
      <w:tr>
        <w:tc>
          <w:tcPr>
            <w:tcW w:type="dxa" w:w="3216"/>
            <w:shd w:val="clear" w:fill="FCE5CD"/>
          </w:tcPr>
          <w:p>
            <w:pPr>
              <w:spacing w:after="40" w:before="40"/>
            </w:pPr>
            <w:r/>
            <w:r>
              <w:t>🟠 Medium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Date stored as text (not a real date)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4,696</w:t>
            </w:r>
          </w:p>
        </w:tc>
      </w:tr>
      <w:tr>
        <w:tc>
          <w:tcPr>
            <w:tcW w:type="dxa" w:w="3216"/>
            <w:shd w:val="clear" w:fill="FCE5CD"/>
          </w:tcPr>
          <w:p>
            <w:pPr>
              <w:spacing w:after="40" w:before="40"/>
            </w:pPr>
            <w:r/>
            <w:r>
              <w:t>🟠 Medium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Total FTE implies more resources than are named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308</w:t>
            </w:r>
          </w:p>
        </w:tc>
      </w:tr>
      <w:tr>
        <w:tc>
          <w:tcPr>
            <w:tcW w:type="dxa" w:w="3216"/>
            <w:shd w:val="clear" w:fill="FCE5CD"/>
          </w:tcPr>
          <w:p>
            <w:pPr>
              <w:spacing w:after="40" w:before="40"/>
            </w:pPr>
            <w:r/>
            <w:r>
              <w:t>🟠 Medium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Contract Year disagrees with its block header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19</w:t>
            </w:r>
          </w:p>
        </w:tc>
      </w:tr>
      <w:tr>
        <w:tc>
          <w:tcPr>
            <w:tcW w:type="dxa" w:w="3216"/>
            <w:shd w:val="clear" w:fill="FCE5CD"/>
          </w:tcPr>
          <w:p>
            <w:pPr>
              <w:spacing w:after="40" w:before="40"/>
            </w:pPr>
            <w:r/>
            <w:r>
              <w:t>🟠 Medium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Single resource loaded above 1.0 FTE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5</w:t>
            </w:r>
          </w:p>
        </w:tc>
      </w:tr>
      <w:tr>
        <w:tc>
          <w:tcPr>
            <w:tcW w:type="dxa" w:w="3216"/>
            <w:shd w:val="clear" w:fill="FCE5CD"/>
          </w:tcPr>
          <w:p>
            <w:pPr>
              <w:spacing w:after="40" w:before="40"/>
            </w:pPr>
            <w:r/>
            <w:r>
              <w:t>🟠 Medium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 xml:space="preserve">WBS demand not reflected in </w:t>
            </w:r>
            <w:r>
              <w:rPr>
                <w:rFonts w:ascii="Consolas" w:hAnsi="Consolas"/>
                <w:color w:val="B03030"/>
                <w:sz w:val="19"/>
              </w:rPr>
              <w:t>Roles &amp; SFIA</w:t>
            </w:r>
            <w:r>
              <w:t xml:space="preserve"> roll-up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4</w:t>
            </w:r>
          </w:p>
        </w:tc>
      </w:tr>
      <w:tr>
        <w:tc>
          <w:tcPr>
            <w:tcW w:type="dxa" w:w="3216"/>
            <w:shd w:val="clear" w:fill="FFF2CC"/>
          </w:tcPr>
          <w:p>
            <w:pPr>
              <w:spacing w:after="40" w:before="40"/>
            </w:pPr>
            <w:r/>
            <w:r>
              <w:t>🟡 Low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Same role used at inconsistent SFIA levels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14</w:t>
            </w:r>
          </w:p>
        </w:tc>
      </w:tr>
      <w:tr>
        <w:tc>
          <w:tcPr>
            <w:tcW w:type="dxa" w:w="3216"/>
            <w:shd w:val="clear" w:fill="FFF2CC"/>
          </w:tcPr>
          <w:p>
            <w:pPr>
              <w:spacing w:after="40" w:before="40"/>
            </w:pPr>
            <w:r/>
            <w:r>
              <w:t>🟡 Low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Leaf task missing a Contract Year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4</w:t>
            </w:r>
          </w:p>
        </w:tc>
      </w:tr>
      <w:tr>
        <w:tc>
          <w:tcPr>
            <w:tcW w:type="dxa" w:w="3216"/>
            <w:shd w:val="clear" w:fill="FFF2CC"/>
          </w:tcPr>
          <w:p>
            <w:pPr>
              <w:spacing w:after="40" w:before="40"/>
            </w:pPr>
            <w:r/>
            <w:r>
              <w:t>🟡 Low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Exact duplicate row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3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</w:rPr>
              <w:t>Total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rPr>
                <w:b/>
              </w:rPr>
              <w:t>5,055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2E5597"/>
          <w:sz w:val="24"/>
        </w:rPr>
        <w:t>3.2 By sheet (excluding the bulk date-as-text rows, to expose real hotspots)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Sheet</w:t>
            </w:r>
          </w:p>
        </w:tc>
        <w:tc>
          <w:tcPr>
            <w:tcW w:type="dxa" w:w="3216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Issues (ex. date-text)</w:t>
            </w:r>
          </w:p>
        </w:tc>
        <w:tc>
          <w:tcPr>
            <w:tcW w:type="dxa" w:w="3216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t>AIP on ACHE Build Years 2-4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153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Systematic Total-FTE/role mismatch (see 4.5)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t>Local Site Years 1-2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28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Contract-Year tagging errors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t>NEXUS Years 1-5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22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Total-FTE/role mismatch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t>BLACK KNIGHT Years 1-5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20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Total-FTE/role mismatch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t>Roles &amp; SFIA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18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SFIA inconsistency + roll-up gaps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t>AIP Site 2 / T&amp;R Site 2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16 / 16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Total-FTE/role mismatch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t>Security Years 1-5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12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End-before-start, over-allocation, duplicates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t>STRATA / AIP Site 3 / Governance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12 / 12 / 11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Mixed</w:t>
            </w:r>
          </w:p>
        </w:tc>
      </w:tr>
    </w:tbl>
    <w:p>
      <w:pPr>
        <w:spacing w:after="80"/>
      </w:pPr>
    </w:p>
    <w:p>
      <w:r>
        <w:rPr>
          <w:i/>
          <w:color w:val="666666"/>
          <w:sz w:val="18"/>
        </w:rPr>
        <w:t>(Date-as-text dominates raw per-sheet counts; the 9 affected sheets are listed in 4.2.)</w:t>
      </w:r>
    </w:p>
    <w:p>
      <w:pPr>
        <w:spacing w:after="0"/>
      </w:pPr>
    </w:p>
    <w:p>
      <w:pPr>
        <w:pBdr>
          <w:bottom w:val="single" w:sz="6" w:space="2" w:color="1F3864"/>
        </w:pBdr>
        <w:spacing w:before="160" w:after="80"/>
      </w:pPr>
      <w:r>
        <w:rPr>
          <w:b/>
          <w:color w:val="1F3864"/>
          <w:sz w:val="30"/>
        </w:rPr>
        <w:t>4. Findings with trace steps</w:t>
      </w:r>
    </w:p>
    <w:p>
      <w:pPr>
        <w:spacing w:after="80"/>
      </w:pPr>
      <w:r>
        <w:t xml:space="preserve">Each finding states the </w:t>
      </w:r>
      <w:r>
        <w:rPr>
          <w:b/>
        </w:rPr>
        <w:t>rule</w:t>
      </w:r>
      <w:r>
        <w:t xml:space="preserve">, the </w:t>
      </w:r>
      <w:r>
        <w:rPr>
          <w:b/>
        </w:rPr>
        <w:t>trace</w:t>
      </w:r>
      <w:r>
        <w:t xml:space="preserve"> (how the breach was detected), and </w:t>
      </w:r>
      <w:r>
        <w:rPr>
          <w:b/>
        </w:rPr>
        <w:t>evidence</w:t>
      </w:r>
    </w:p>
    <w:p>
      <w:pPr>
        <w:spacing w:after="80"/>
      </w:pPr>
      <w:r>
        <w:t>(exact cells). Row numbers are the workbook's own 1-based rows.</w:t>
      </w:r>
    </w:p>
    <w:p>
      <w:pPr>
        <w:spacing w:before="120" w:after="40"/>
      </w:pPr>
      <w:r>
        <w:rPr>
          <w:b/>
          <w:color w:val="2E5597"/>
          <w:sz w:val="24"/>
        </w:rPr>
        <w:t>4.1 🔴 End Date before Start Date — 2 occurrences</w:t>
      </w:r>
    </w:p>
    <w:p>
      <w:pPr>
        <w:spacing w:after="80"/>
      </w:pPr>
      <w:r>
        <w:rPr>
          <w:b/>
        </w:rPr>
        <w:t>Rule:</w:t>
      </w:r>
      <w:r>
        <w:t xml:space="preserve"> </w:t>
      </w:r>
      <w:r>
        <w:rPr>
          <w:rFonts w:ascii="Consolas" w:hAnsi="Consolas"/>
          <w:color w:val="B03030"/>
          <w:sz w:val="19"/>
        </w:rPr>
        <w:t>End Date ≥ Start Date</w:t>
      </w:r>
      <w:r>
        <w:t>.</w:t>
      </w:r>
    </w:p>
    <w:p>
      <w:pPr>
        <w:spacing w:after="80"/>
      </w:pPr>
      <w:r>
        <w:rPr>
          <w:b/>
        </w:rPr>
        <w:t>Trace:</w:t>
      </w:r>
      <w:r>
        <w:t xml:space="preserve"> parse both dates (handling the text-date format in 4.2) → compare → flag where </w:t>
      </w:r>
      <w:r>
        <w:rPr>
          <w:rFonts w:ascii="Consolas" w:hAnsi="Consolas"/>
          <w:color w:val="B03030"/>
          <w:sz w:val="19"/>
        </w:rPr>
        <w:t>end &lt; start</w:t>
      </w:r>
      <w:r>
        <w:t>.</w:t>
      </w:r>
    </w:p>
    <w:p>
      <w:pPr>
        <w:spacing w:after="80"/>
      </w:pPr>
      <w:r>
        <w:rPr>
          <w:b/>
        </w:rPr>
        <w:t>Evidence:</w:t>
      </w:r>
    </w:p>
    <w:p>
      <w:pPr>
        <w:pStyle w:val="ListBullet"/>
        <w:spacing w:after="20"/>
      </w:pPr>
      <w:r>
        <w:rPr>
          <w:rFonts w:ascii="Consolas" w:hAnsi="Consolas"/>
          <w:color w:val="B03030"/>
          <w:sz w:val="19"/>
        </w:rPr>
        <w:t>Security Years 1-5!R6</w:t>
      </w:r>
      <w:r>
        <w:t xml:space="preserve"> — *ITHC - DS OCD*: Start </w:t>
      </w:r>
      <w:r>
        <w:rPr>
          <w:b/>
        </w:rPr>
        <w:t>2026-10-01</w:t>
      </w:r>
      <w:r>
        <w:t xml:space="preserve">, End </w:t>
      </w:r>
      <w:r>
        <w:rPr>
          <w:b/>
        </w:rPr>
        <w:t>2026-07-01</w:t>
      </w:r>
      <w:r>
        <w:t xml:space="preserve"> (ends 3 months before it starts).</w:t>
      </w:r>
    </w:p>
    <w:p>
      <w:pPr>
        <w:pStyle w:val="ListBullet"/>
        <w:spacing w:after="20"/>
      </w:pPr>
      <w:r>
        <w:rPr>
          <w:rFonts w:ascii="Consolas" w:hAnsi="Consolas"/>
          <w:color w:val="B03030"/>
          <w:sz w:val="19"/>
        </w:rPr>
        <w:t>Service Management Years 1-5!R179</w:t>
      </w:r>
      <w:r>
        <w:t xml:space="preserve"> — *Process &amp; Policy Review*: Start </w:t>
      </w:r>
      <w:r>
        <w:rPr>
          <w:b/>
        </w:rPr>
        <w:t>2027-04-01</w:t>
      </w:r>
      <w:r>
        <w:t xml:space="preserve">, End </w:t>
      </w:r>
      <w:r>
        <w:rPr>
          <w:b/>
        </w:rPr>
        <w:t>2027-01-01</w:t>
      </w:r>
      <w:r>
        <w:t>.</w:t>
      </w:r>
    </w:p>
    <w:p>
      <w:pPr>
        <w:spacing w:after="80"/>
      </w:pPr>
      <w:r>
        <w:rPr>
          <w:b/>
        </w:rPr>
        <w:t>Impact:</w:t>
      </w:r>
      <w:r>
        <w:t xml:space="preserve"> negative durations break any Gantt/scheduling roll-up and signal a copy-paste error in the</w:t>
      </w:r>
    </w:p>
    <w:p>
      <w:pPr>
        <w:spacing w:after="80"/>
      </w:pPr>
      <w:r>
        <w:t xml:space="preserve">date columns. </w:t>
      </w:r>
      <w:r>
        <w:rPr>
          <w:b/>
        </w:rPr>
        <w:t>Fix:</w:t>
      </w:r>
      <w:r>
        <w:t xml:space="preserve"> correct the End Date (likely 2027-07-01 and 2027-07-01 / next-FY respectively — confirm with the planner).</w:t>
      </w:r>
    </w:p>
    <w:p>
      <w:pPr>
        <w:spacing w:before="120" w:after="40"/>
      </w:pPr>
      <w:r>
        <w:rPr>
          <w:b/>
          <w:color w:val="2E5597"/>
          <w:sz w:val="24"/>
        </w:rPr>
        <w:t>4.2 🟠 Dates stored as text, not real dates — 4,696 occurrences</w:t>
      </w:r>
    </w:p>
    <w:p>
      <w:pPr>
        <w:spacing w:after="80"/>
      </w:pPr>
      <w:r>
        <w:rPr>
          <w:b/>
        </w:rPr>
        <w:t>Rule:</w:t>
      </w:r>
      <w:r>
        <w:t xml:space="preserve"> date columns should hold real date values, not strings.</w:t>
      </w:r>
    </w:p>
    <w:p>
      <w:pPr>
        <w:spacing w:after="80"/>
      </w:pPr>
      <w:r>
        <w:rPr>
          <w:b/>
        </w:rPr>
        <w:t>Trace:</w:t>
      </w:r>
      <w:r>
        <w:t xml:space="preserve"> read each </w:t>
      </w:r>
      <w:r>
        <w:rPr>
          <w:rFonts w:ascii="Consolas" w:hAnsi="Consolas"/>
          <w:color w:val="B03030"/>
          <w:sz w:val="19"/>
        </w:rPr>
        <w:t>Start Date</w:t>
      </w:r>
      <w:r>
        <w:t xml:space="preserve"> / </w:t>
      </w:r>
      <w:r>
        <w:rPr>
          <w:rFonts w:ascii="Consolas" w:hAnsi="Consolas"/>
          <w:color w:val="B03030"/>
          <w:sz w:val="19"/>
        </w:rPr>
        <w:t>End Date</w:t>
      </w:r>
      <w:r>
        <w:t xml:space="preserve"> cell and test its Python type — </w:t>
      </w:r>
      <w:r>
        <w:rPr>
          <w:rFonts w:ascii="Consolas" w:hAnsi="Consolas"/>
          <w:color w:val="B03030"/>
          <w:sz w:val="19"/>
        </w:rPr>
        <w:t>datetime</w:t>
      </w:r>
      <w:r>
        <w:t xml:space="preserve"> (good) vs</w:t>
      </w:r>
    </w:p>
    <w:p>
      <w:pPr>
        <w:spacing w:after="80"/>
      </w:pPr>
      <w:r>
        <w:rPr>
          <w:rFonts w:ascii="Consolas" w:hAnsi="Consolas"/>
          <w:color w:val="B03030"/>
          <w:sz w:val="19"/>
        </w:rPr>
        <w:t>str</w:t>
      </w:r>
      <w:r>
        <w:t xml:space="preserve"> like </w:t>
      </w:r>
      <w:r>
        <w:rPr>
          <w:rFonts w:ascii="Consolas" w:hAnsi="Consolas"/>
          <w:color w:val="B03030"/>
          <w:sz w:val="19"/>
        </w:rPr>
        <w:t>"15/03/2027"</w:t>
      </w:r>
      <w:r>
        <w:t xml:space="preserve"> (bad). Tally per sheet.</w:t>
      </w:r>
    </w:p>
    <w:p>
      <w:pPr>
        <w:spacing w:after="80"/>
      </w:pPr>
      <w:r>
        <w:rPr>
          <w:b/>
        </w:rPr>
        <w:t>Evidence — End Date is text on 9 of 17 sheets (every leaf row affected):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Sheet</w:t>
            </w:r>
          </w:p>
        </w:tc>
        <w:tc>
          <w:tcPr>
            <w:tcW w:type="dxa" w:w="4824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End-Date text rows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t>AIP on ACHE Site 2 Years 2-5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t>992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t>T&amp;R on ACHE Site 2 Years 2-5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t>992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t>AIP on ACHE Site 3 Years 3-5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t>744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t>DARKSTAR OCD Years 1-2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t>564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t>AIP on ACHE Site 1 Years 4-5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t>496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t>Governance Years 1-5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t>369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t>Service Management Years 1-5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t>343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t>Service Desk Years 1-5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t>115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t>Security Years 1-5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t>80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</w:pPr>
            <w:r/>
            <w:r>
              <w:t>DLZ Years 1-5</w:t>
            </w:r>
          </w:p>
        </w:tc>
        <w:tc>
          <w:tcPr>
            <w:tcW w:type="dxa" w:w="4824"/>
          </w:tcPr>
          <w:p>
            <w:pPr>
              <w:spacing w:after="40" w:before="40"/>
            </w:pPr>
            <w:r/>
            <w:r>
              <w:t>1 (single stray text cell)</w:t>
            </w:r>
          </w:p>
        </w:tc>
      </w:tr>
    </w:tbl>
    <w:p>
      <w:pPr>
        <w:spacing w:after="80"/>
      </w:pPr>
    </w:p>
    <w:p>
      <w:pPr>
        <w:spacing w:after="80"/>
      </w:pPr>
      <w:r>
        <w:t>The remaining 8 sheets store both dates correctly as date values — so the workbook is **internally</w:t>
      </w:r>
    </w:p>
    <w:p>
      <w:pPr>
        <w:spacing w:after="80"/>
      </w:pPr>
      <w:r>
        <w:t>inconsistent**: identical columns are typed differently sheet-to-sheet.</w:t>
      </w:r>
    </w:p>
    <w:p>
      <w:pPr>
        <w:spacing w:after="80"/>
      </w:pPr>
      <w:r>
        <w:rPr>
          <w:b/>
        </w:rPr>
        <w:t>Impact:</w:t>
      </w:r>
      <w:r>
        <w:t xml:space="preserve"> text dates don't sort, don't feed date arithmetic, and silently corrupt any cross-sheet</w:t>
      </w:r>
    </w:p>
    <w:p>
      <w:pPr>
        <w:spacing w:after="80"/>
      </w:pPr>
      <w:r>
        <w:t xml:space="preserve">timeline or </w:t>
      </w:r>
      <w:r>
        <w:rPr>
          <w:rFonts w:ascii="Consolas" w:hAnsi="Consolas"/>
          <w:color w:val="B03030"/>
          <w:sz w:val="19"/>
        </w:rPr>
        <w:t>MIN/MAX</w:t>
      </w:r>
      <w:r>
        <w:t xml:space="preserve"> roll-up. The single stray </w:t>
      </w:r>
      <w:r>
        <w:rPr>
          <w:rFonts w:ascii="Consolas" w:hAnsi="Consolas"/>
          <w:color w:val="B03030"/>
          <w:sz w:val="19"/>
        </w:rPr>
        <w:t>DLZ!E…</w:t>
      </w:r>
      <w:r>
        <w:t xml:space="preserve"> text cell is the most insidious — it looks</w:t>
      </w:r>
    </w:p>
    <w:p>
      <w:pPr>
        <w:spacing w:after="80"/>
      </w:pPr>
      <w:r>
        <w:t>fine but one cell in a column of real dates will break a column-wide formula.</w:t>
      </w:r>
    </w:p>
    <w:p>
      <w:pPr>
        <w:spacing w:after="80"/>
      </w:pPr>
      <w:r>
        <w:rPr>
          <w:b/>
        </w:rPr>
        <w:t>Fix:</w:t>
      </w:r>
      <w:r>
        <w:t xml:space="preserve"> reformat the 9 sheets' date columns to real dates (Text-to-Columns / </w:t>
      </w:r>
      <w:r>
        <w:rPr>
          <w:rFonts w:ascii="Consolas" w:hAnsi="Consolas"/>
          <w:color w:val="B03030"/>
          <w:sz w:val="19"/>
        </w:rPr>
        <w:t>DATEVALUE</w:t>
      </w:r>
      <w:r>
        <w:t>), and fix</w:t>
      </w:r>
    </w:p>
    <w:p>
      <w:pPr>
        <w:spacing w:after="80"/>
      </w:pPr>
      <w:r>
        <w:t>the one stray DLZ cell.</w:t>
      </w:r>
    </w:p>
    <w:p>
      <w:pPr>
        <w:spacing w:before="120" w:after="40"/>
      </w:pPr>
      <w:r>
        <w:rPr>
          <w:b/>
          <w:color w:val="2E5597"/>
          <w:sz w:val="24"/>
        </w:rPr>
        <w:t>4.3 🟠 Total FTE implies more resources than are named — 308 occurrences</w:t>
      </w:r>
    </w:p>
    <w:p>
      <w:pPr>
        <w:spacing w:after="80"/>
      </w:pPr>
      <w:r>
        <w:rPr>
          <w:b/>
        </w:rPr>
        <w:t>Rule:</w:t>
      </w:r>
      <w:r>
        <w:t xml:space="preserve"> </w:t>
      </w:r>
      <w:r>
        <w:rPr>
          <w:rFonts w:ascii="Consolas" w:hAnsi="Consolas"/>
          <w:color w:val="B03030"/>
          <w:sz w:val="19"/>
        </w:rPr>
        <w:t>Total FTE to action = % of FTE × (number of Role columns populated)</w:t>
      </w:r>
      <w:r>
        <w:t>, so</w:t>
      </w:r>
    </w:p>
    <w:p>
      <w:pPr>
        <w:spacing w:after="80"/>
      </w:pPr>
      <w:r>
        <w:rPr>
          <w:rFonts w:ascii="Consolas" w:hAnsi="Consolas"/>
          <w:color w:val="B03030"/>
          <w:sz w:val="19"/>
        </w:rPr>
        <w:t>Total FTE ÷ % of FTE</w:t>
      </w:r>
      <w:r>
        <w:t xml:space="preserve"> should equal the count of named roles.</w:t>
      </w:r>
    </w:p>
    <w:p>
      <w:pPr>
        <w:spacing w:after="80"/>
      </w:pPr>
      <w:r>
        <w:rPr>
          <w:b/>
        </w:rPr>
        <w:t>Trace:</w:t>
      </w:r>
      <w:r>
        <w:t xml:space="preserve"> for each leaf compute </w:t>
      </w:r>
      <w:r>
        <w:rPr>
          <w:rFonts w:ascii="Consolas" w:hAnsi="Consolas"/>
          <w:color w:val="B03030"/>
          <w:sz w:val="19"/>
        </w:rPr>
        <w:t>ratio = Total FTE ÷ % of FTE</w:t>
      </w:r>
      <w:r>
        <w:t>, round to nearest integer = *implied</w:t>
      </w:r>
    </w:p>
    <w:p>
      <w:pPr>
        <w:spacing w:after="80"/>
      </w:pPr>
      <w:r>
        <w:t>resource count*, compare to the number of populated Role1–Role5 cells.</w:t>
      </w:r>
    </w:p>
    <w:p>
      <w:pPr>
        <w:spacing w:after="80"/>
      </w:pPr>
      <w:r>
        <w:rPr>
          <w:b/>
        </w:rPr>
        <w:t>Distribution of the mismatch: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Roles named</w:t>
            </w:r>
          </w:p>
        </w:tc>
        <w:tc>
          <w:tcPr>
            <w:tcW w:type="dxa" w:w="3216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Resources implied by Total FTE</w:t>
            </w:r>
          </w:p>
        </w:tc>
        <w:tc>
          <w:tcPr>
            <w:tcW w:type="dxa" w:w="3216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Rows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65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98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30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72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35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3216"/>
          </w:tcPr>
          <w:p>
            <w:pPr>
              <w:spacing w:after="40" w:before="40"/>
            </w:pPr>
            <w:r/>
            <w:r>
              <w:t>8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B03030"/>
          <w:sz w:val="19"/>
        </w:rPr>
        <w:t>AIP on ACHE Build Years 2-4!R4</w:t>
      </w:r>
      <w:r>
        <w:t xml:space="preserve"> *Active Directory* — </w:t>
      </w:r>
      <w:r>
        <w:rPr>
          <w:rFonts w:ascii="Consolas" w:hAnsi="Consolas"/>
          <w:color w:val="B03030"/>
          <w:sz w:val="19"/>
        </w:rPr>
        <w:t>Total FTE = 3 × %FTE</w:t>
      </w:r>
      <w:r>
        <w:t xml:space="preserve"> but only one</w:t>
      </w:r>
    </w:p>
    <w:p>
      <w:pPr>
        <w:spacing w:after="80"/>
      </w:pPr>
      <w:r>
        <w:t xml:space="preserve">role (*Infrastructure Engineer*) is named; same for ADFS/Beyond Trust/Tenable (R5–R7). </w:t>
      </w:r>
      <w:r>
        <w:rPr>
          <w:rFonts w:ascii="Consolas" w:hAnsi="Consolas"/>
          <w:color w:val="B03030"/>
          <w:sz w:val="19"/>
        </w:rPr>
        <w:t>DLZ!R25</w:t>
      </w:r>
    </w:p>
    <w:p>
      <w:pPr>
        <w:spacing w:after="80"/>
      </w:pPr>
      <w:r>
        <w:t xml:space="preserve">*Configuration Management* — </w:t>
      </w:r>
      <w:r>
        <w:rPr>
          <w:rFonts w:ascii="Consolas" w:hAnsi="Consolas"/>
          <w:color w:val="B03030"/>
          <w:sz w:val="19"/>
        </w:rPr>
        <w:t>Total FTE = 2 × %FTE</w:t>
      </w:r>
      <w:r>
        <w:t>, one *Platform Engineer* named.</w:t>
      </w:r>
    </w:p>
    <w:p>
      <w:pPr>
        <w:spacing w:after="80"/>
      </w:pPr>
      <w:r>
        <w:rPr>
          <w:b/>
        </w:rPr>
        <w:t>Impact:</w:t>
      </w:r>
      <w:r>
        <w:t xml:space="preserve"> either the </w:t>
      </w:r>
      <w:r>
        <w:rPr>
          <w:b/>
        </w:rPr>
        <w:t>Role columns are under-populated</w:t>
      </w:r>
      <w:r>
        <w:t xml:space="preserve"> (real people missing from the plan) or the</w:t>
      </w:r>
    </w:p>
    <w:p>
      <w:pPr>
        <w:spacing w:after="80"/>
      </w:pPr>
      <w:r>
        <w:rPr>
          <w:b/>
        </w:rPr>
        <w:t>Total FTE is overstated</w:t>
      </w:r>
      <w:r>
        <w:t xml:space="preserve"> (double-counted demand). 153 of the 308 are in *AIP on ACHE Build* — a</w:t>
      </w:r>
    </w:p>
    <w:p>
      <w:pPr>
        <w:spacing w:after="80"/>
      </w:pPr>
      <w:r>
        <w:t>systematic pattern in that sheet, not scattered typos. This directly distorts the 304-FTE programme</w:t>
      </w:r>
    </w:p>
    <w:p>
      <w:pPr>
        <w:spacing w:after="80"/>
      </w:pPr>
      <w:r>
        <w:t xml:space="preserve">total. </w:t>
      </w:r>
      <w:r>
        <w:rPr>
          <w:b/>
        </w:rPr>
        <w:t>Fix:</w:t>
      </w:r>
      <w:r>
        <w:t xml:space="preserve"> decide the intended rule per row and reconcile — name the missing resources or</w:t>
      </w:r>
    </w:p>
    <w:p>
      <w:pPr>
        <w:spacing w:after="80"/>
      </w:pPr>
      <w:r>
        <w:t>recompute Total FTE from the named roles.</w:t>
      </w:r>
    </w:p>
    <w:p>
      <w:pPr>
        <w:spacing w:before="120" w:after="40"/>
      </w:pPr>
      <w:r>
        <w:rPr>
          <w:b/>
          <w:color w:val="2E5597"/>
          <w:sz w:val="24"/>
        </w:rPr>
        <w:t>4.4 🟠 Contract Year disagrees with its block header — 19 occurrences</w:t>
      </w:r>
    </w:p>
    <w:p>
      <w:pPr>
        <w:spacing w:after="80"/>
      </w:pPr>
      <w:r>
        <w:rPr>
          <w:b/>
        </w:rPr>
        <w:t>Rule:</w:t>
      </w:r>
      <w:r>
        <w:t xml:space="preserve"> a leaf's </w:t>
      </w:r>
      <w:r>
        <w:rPr>
          <w:rFonts w:ascii="Consolas" w:hAnsi="Consolas"/>
          <w:color w:val="B03030"/>
          <w:sz w:val="19"/>
        </w:rPr>
        <w:t>Contract Year</w:t>
      </w:r>
      <w:r>
        <w:t xml:space="preserve"> should match the </w:t>
      </w:r>
      <w:r>
        <w:rPr>
          <w:rFonts w:ascii="Consolas" w:hAnsi="Consolas"/>
          <w:color w:val="B03030"/>
          <w:sz w:val="19"/>
        </w:rPr>
        <w:t>CONTRACT YEAR n</w:t>
      </w:r>
      <w:r>
        <w:t xml:space="preserve"> block it sits under.</w:t>
      </w:r>
    </w:p>
    <w:p>
      <w:pPr>
        <w:spacing w:after="80"/>
      </w:pPr>
      <w:r>
        <w:rPr>
          <w:b/>
        </w:rPr>
        <w:t>Trace:</w:t>
      </w:r>
      <w:r>
        <w:t xml:space="preserve"> carry the current block's year while scanning; flag leaves whose </w:t>
      </w:r>
      <w:r>
        <w:rPr>
          <w:rFonts w:ascii="Consolas" w:hAnsi="Consolas"/>
          <w:color w:val="B03030"/>
          <w:sz w:val="19"/>
        </w:rPr>
        <w:t>Contract Year</w:t>
      </w:r>
      <w:r>
        <w:t xml:space="preserve"> differs.</w:t>
      </w:r>
    </w:p>
    <w:p>
      <w:pPr>
        <w:spacing w:after="80"/>
      </w:pPr>
      <w:r>
        <w:rPr>
          <w:b/>
        </w:rPr>
        <w:t>Evidence:</w:t>
      </w:r>
      <w:r>
        <w:t xml:space="preserve"> all under </w:t>
      </w:r>
      <w:r>
        <w:rPr>
          <w:rFonts w:ascii="Consolas" w:hAnsi="Consolas"/>
          <w:color w:val="B03030"/>
          <w:sz w:val="19"/>
        </w:rPr>
        <w:t>Local Site - CONTRACT YEAR 1</w:t>
      </w:r>
      <w:r>
        <w:t>: rows tagged Year 2 (</w:t>
      </w:r>
      <w:r>
        <w:rPr>
          <w:rFonts w:ascii="Consolas" w:hAnsi="Consolas"/>
          <w:color w:val="B03030"/>
          <w:sz w:val="19"/>
        </w:rPr>
        <w:t>R4–R7, R9–R11</w:t>
      </w:r>
      <w:r>
        <w:t>) and Year 3</w:t>
      </w:r>
    </w:p>
    <w:p>
      <w:pPr>
        <w:spacing w:after="80"/>
      </w:pPr>
      <w:r>
        <w:t>(</w:t>
      </w:r>
      <w:r>
        <w:rPr>
          <w:rFonts w:ascii="Consolas" w:hAnsi="Consolas"/>
          <w:color w:val="B03030"/>
          <w:sz w:val="19"/>
        </w:rPr>
        <w:t>R14–R17, R19…</w:t>
      </w:r>
      <w:r>
        <w:t xml:space="preserve">) — e.g. </w:t>
      </w:r>
      <w:r>
        <w:rPr>
          <w:rFonts w:ascii="Consolas" w:hAnsi="Consolas"/>
          <w:color w:val="B03030"/>
          <w:sz w:val="19"/>
        </w:rPr>
        <w:t>Local Site!R4</w:t>
      </w:r>
      <w:r>
        <w:t xml:space="preserve"> *Switch Maintenance* tagged Year 2 inside the Year-1 block,</w:t>
      </w:r>
    </w:p>
    <w:p>
      <w:pPr>
        <w:spacing w:after="80"/>
      </w:pPr>
      <w:r>
        <w:t>with a Year-1 start date (2026-10-01). STRATA shows the same pattern (Pre-Prod QA / Pipeline</w:t>
      </w:r>
    </w:p>
    <w:p>
      <w:pPr>
        <w:spacing w:after="80"/>
      </w:pPr>
      <w:r>
        <w:t>Sustainment tagged Years 2–3 in the Year-1 block).</w:t>
      </w:r>
    </w:p>
    <w:p>
      <w:pPr>
        <w:spacing w:after="80"/>
      </w:pPr>
      <w:r>
        <w:rPr>
          <w:b/>
        </w:rPr>
        <w:t>Impact:</w:t>
      </w:r>
      <w:r>
        <w:t xml:space="preserve"> per-year effort roll-ups mis-bucket this work. The untagged 33 days in §1.2 and these 19</w:t>
      </w:r>
    </w:p>
    <w:p>
      <w:pPr>
        <w:spacing w:after="80"/>
      </w:pPr>
      <w:r>
        <w:t xml:space="preserve">mis-tagged rows mean the Y1–Y5 split is not fully trustworthy until reconciled. </w:t>
      </w:r>
      <w:r>
        <w:rPr>
          <w:b/>
        </w:rPr>
        <w:t>Fix:</w:t>
      </w:r>
      <w:r>
        <w:t xml:space="preserve"> align the</w:t>
      </w:r>
    </w:p>
    <w:p>
      <w:pPr>
        <w:spacing w:after="80"/>
      </w:pPr>
      <w:r>
        <w:rPr>
          <w:rFonts w:ascii="Consolas" w:hAnsi="Consolas"/>
          <w:color w:val="B03030"/>
          <w:sz w:val="19"/>
        </w:rPr>
        <w:t>Contract Year</w:t>
      </w:r>
      <w:r>
        <w:t xml:space="preserve"> cell to the block, or split the rows into the correct year blocks.</w:t>
      </w:r>
    </w:p>
    <w:p>
      <w:pPr>
        <w:spacing w:before="120" w:after="40"/>
      </w:pPr>
      <w:r>
        <w:rPr>
          <w:b/>
          <w:color w:val="2E5597"/>
          <w:sz w:val="24"/>
        </w:rPr>
        <w:t>4.5 🟠 Single resource loaded above 1.0 FTE — 5 occurrences</w:t>
      </w:r>
    </w:p>
    <w:p>
      <w:pPr>
        <w:spacing w:after="80"/>
      </w:pPr>
      <w:r>
        <w:rPr>
          <w:b/>
        </w:rPr>
        <w:t>Rule:</w:t>
      </w:r>
      <w:r>
        <w:t xml:space="preserve"> a task with one named resource cannot need more than 1.0 FTE of that resource.</w:t>
      </w:r>
    </w:p>
    <w:p>
      <w:pPr>
        <w:spacing w:after="80"/>
      </w:pPr>
      <w:r>
        <w:rPr>
          <w:b/>
        </w:rPr>
        <w:t>Trace:</w:t>
      </w:r>
      <w:r>
        <w:t xml:space="preserve"> flag leaves where </w:t>
      </w:r>
      <w:r>
        <w:rPr>
          <w:rFonts w:ascii="Consolas" w:hAnsi="Consolas"/>
          <w:color w:val="B03030"/>
          <w:sz w:val="19"/>
        </w:rPr>
        <w:t>roles named = 1</w:t>
      </w:r>
      <w:r>
        <w:t xml:space="preserve"> and </w:t>
      </w:r>
      <w:r>
        <w:rPr>
          <w:rFonts w:ascii="Consolas" w:hAnsi="Consolas"/>
          <w:color w:val="B03030"/>
          <w:sz w:val="19"/>
        </w:rPr>
        <w:t>Total FTE &gt; 1.0</w:t>
      </w:r>
      <w:r>
        <w:t>.</w:t>
      </w:r>
    </w:p>
    <w:p>
      <w:pPr>
        <w:spacing w:after="80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B03030"/>
          <w:sz w:val="19"/>
        </w:rPr>
        <w:t>Security Years 1-5!R7, R25, R44, R64, R84</w:t>
      </w:r>
      <w:r>
        <w:t xml:space="preserve"> — *Security Assurance (SbD &amp; 453)*, each</w:t>
      </w:r>
    </w:p>
    <w:p>
      <w:pPr>
        <w:spacing w:after="80"/>
      </w:pPr>
      <w:r>
        <w:rPr>
          <w:b/>
        </w:rPr>
        <w:t>1.63 FTE</w:t>
      </w:r>
      <w:r>
        <w:t xml:space="preserve"> against a single *Security Architect* (Daily, 358 days/yr). One named person cannot</w:t>
      </w:r>
    </w:p>
    <w:p>
      <w:pPr>
        <w:spacing w:after="80"/>
      </w:pPr>
      <w:r>
        <w:t>deliver 1.63 FTE.</w:t>
      </w:r>
    </w:p>
    <w:p>
      <w:pPr>
        <w:spacing w:after="80"/>
      </w:pPr>
      <w:r>
        <w:rPr>
          <w:b/>
        </w:rPr>
        <w:t>Impact:</w:t>
      </w:r>
      <w:r>
        <w:t xml:space="preserve"> the role is structurally under-resourced every year — this needs ~2 Security Architects,</w:t>
      </w:r>
    </w:p>
    <w:p>
      <w:pPr>
        <w:spacing w:after="80"/>
      </w:pPr>
      <w:r>
        <w:t xml:space="preserve">not 1, or the daily estimate is too high. </w:t>
      </w:r>
      <w:r>
        <w:rPr>
          <w:b/>
        </w:rPr>
        <w:t>Fix:</w:t>
      </w:r>
      <w:r>
        <w:t xml:space="preserve"> add the second resource or re-scope the estimate.</w:t>
      </w:r>
    </w:p>
    <w:p>
      <w:pPr>
        <w:spacing w:before="120" w:after="40"/>
      </w:pPr>
      <w:r>
        <w:rPr>
          <w:b/>
          <w:color w:val="2E5597"/>
          <w:sz w:val="24"/>
        </w:rPr>
        <w:t>4.6 🟠 WBS demand not reflected in the `Roles &amp; SFIA` roll-up — 4 occurrences</w:t>
      </w:r>
    </w:p>
    <w:p>
      <w:pPr>
        <w:spacing w:after="80"/>
      </w:pPr>
      <w:r>
        <w:rPr>
          <w:b/>
        </w:rPr>
        <w:t>Rule:</w:t>
      </w:r>
      <w:r>
        <w:t xml:space="preserve"> a role carrying real FTE in the WBS should show non-zero demand in the </w:t>
      </w:r>
      <w:r>
        <w:rPr>
          <w:rFonts w:ascii="Consolas" w:hAnsi="Consolas"/>
          <w:color w:val="B03030"/>
          <w:sz w:val="19"/>
        </w:rPr>
        <w:t>Roles &amp; SFIA</w:t>
      </w:r>
    </w:p>
    <w:p>
      <w:pPr>
        <w:spacing w:after="80"/>
      </w:pPr>
      <w:r>
        <w:t>summary tab.</w:t>
      </w:r>
    </w:p>
    <w:p>
      <w:pPr>
        <w:spacing w:after="80"/>
      </w:pPr>
      <w:r>
        <w:rPr>
          <w:b/>
        </w:rPr>
        <w:t>Trace:</w:t>
      </w:r>
      <w:r>
        <w:t xml:space="preserve"> sum each role's FTE across all leaves; cross-check the role's row on </w:t>
      </w:r>
      <w:r>
        <w:rPr>
          <w:rFonts w:ascii="Consolas" w:hAnsi="Consolas"/>
          <w:color w:val="B03030"/>
          <w:sz w:val="19"/>
        </w:rPr>
        <w:t>Roles &amp; SFIA</w:t>
      </w:r>
      <w:r>
        <w:t>; flag</w:t>
      </w:r>
    </w:p>
    <w:p>
      <w:pPr>
        <w:spacing w:after="80"/>
      </w:pPr>
      <w:r>
        <w:t>where WBS FTE &gt; 0.05 but the summary row is all zeros.</w:t>
      </w:r>
    </w:p>
    <w:p>
      <w:pPr>
        <w:spacing w:after="80"/>
      </w:pPr>
      <w:r>
        <w:rPr>
          <w:b/>
        </w:rPr>
        <w:t>Evidence:</w:t>
      </w:r>
      <w:r>
        <w:t xml:space="preserve"> *Security Architect* </w:t>
      </w:r>
      <w:r>
        <w:rPr>
          <w:b/>
        </w:rPr>
        <w:t>~19.8 FTE</w:t>
      </w:r>
      <w:r>
        <w:t xml:space="preserve"> in the WBS but </w:t>
      </w:r>
      <w:r>
        <w:rPr>
          <w:b/>
        </w:rPr>
        <w:t>0</w:t>
      </w:r>
      <w:r>
        <w:t xml:space="preserve"> in summary (</w:t>
      </w:r>
      <w:r>
        <w:rPr>
          <w:rFonts w:ascii="Consolas" w:hAnsi="Consolas"/>
          <w:color w:val="B03030"/>
          <w:sz w:val="19"/>
        </w:rPr>
        <w:t>Roles &amp; SFIA!R27</w:t>
      </w:r>
      <w:r>
        <w:t>);</w:t>
      </w:r>
    </w:p>
    <w:p>
      <w:pPr>
        <w:spacing w:after="80"/>
      </w:pPr>
      <w:r>
        <w:t xml:space="preserve">*Service Management Controller* </w:t>
      </w:r>
      <w:r>
        <w:rPr>
          <w:b/>
        </w:rPr>
        <w:t>~12.8 FTE</w:t>
      </w:r>
      <w:r>
        <w:t xml:space="preserve"> but the master row (</w:t>
      </w:r>
      <w:r>
        <w:rPr>
          <w:rFonts w:ascii="Consolas" w:hAnsi="Consolas"/>
          <w:color w:val="B03030"/>
          <w:sz w:val="19"/>
        </w:rPr>
        <w:t>R41</w:t>
      </w:r>
      <w:r>
        <w:t>) is entirely blank; *Software</w:t>
      </w:r>
    </w:p>
    <w:p>
      <w:pPr>
        <w:spacing w:after="80"/>
      </w:pPr>
      <w:r>
        <w:t>Lead* ~0.83 and *Business Analyst* ~1.32 likewise 0.</w:t>
      </w:r>
    </w:p>
    <w:p>
      <w:pPr>
        <w:spacing w:after="80"/>
      </w:pPr>
      <w:r>
        <w:rPr>
          <w:b/>
        </w:rPr>
        <w:t>Impact:</w:t>
      </w:r>
      <w:r>
        <w:t xml:space="preserve"> the summary/</w:t>
      </w:r>
      <w:r>
        <w:rPr>
          <w:rFonts w:ascii="Consolas" w:hAnsi="Consolas"/>
          <w:color w:val="B03030"/>
          <w:sz w:val="19"/>
        </w:rPr>
        <w:t>Overview</w:t>
      </w:r>
      <w:r>
        <w:t xml:space="preserve"> tabs are </w:t>
      </w:r>
      <w:r>
        <w:rPr>
          <w:b/>
        </w:rPr>
        <w:t>stale</w:t>
      </w:r>
      <w:r>
        <w:t xml:space="preserve"> — they understate demand for at least these</w:t>
      </w:r>
    </w:p>
    <w:p>
      <w:pPr>
        <w:spacing w:after="80"/>
      </w:pPr>
      <w:r>
        <w:t xml:space="preserve">roles, so any headcount or cost number taken from them is wrong. The </w:t>
      </w:r>
      <w:r>
        <w:rPr>
          <w:rFonts w:ascii="Consolas" w:hAnsi="Consolas"/>
          <w:color w:val="B03030"/>
          <w:sz w:val="19"/>
        </w:rPr>
        <w:t>Overview</w:t>
      </w:r>
      <w:r>
        <w:t xml:space="preserve"> tab is itself only</w:t>
      </w:r>
    </w:p>
    <w:p>
      <w:pPr>
        <w:spacing w:after="80"/>
      </w:pPr>
      <w:r>
        <w:t>"DLZ Contract Year 1" and almost entirely zeros, i.e. a partial roll-up that was never completed.</w:t>
      </w:r>
    </w:p>
    <w:p>
      <w:pPr>
        <w:spacing w:after="80"/>
      </w:pPr>
      <w:r>
        <w:rPr>
          <w:b/>
        </w:rPr>
        <w:t>Fix:</w:t>
      </w:r>
      <w:r>
        <w:t xml:space="preserve"> rebuild the roll-up from the live WBS (e.g. SUMIFS by role), and populate the blank</w:t>
      </w:r>
    </w:p>
    <w:p>
      <w:pPr>
        <w:spacing w:after="80"/>
      </w:pPr>
      <w:r>
        <w:t>*Service Management Controller* master row.</w:t>
      </w:r>
    </w:p>
    <w:p>
      <w:pPr>
        <w:spacing w:before="120" w:after="40"/>
      </w:pPr>
      <w:r>
        <w:rPr>
          <w:b/>
          <w:color w:val="2E5597"/>
          <w:sz w:val="24"/>
        </w:rPr>
        <w:t>4.7 🟡 Same role used at inconsistent SFIA levels — 14 roles</w:t>
      </w:r>
    </w:p>
    <w:p>
      <w:pPr>
        <w:spacing w:after="80"/>
      </w:pPr>
      <w:r>
        <w:rPr>
          <w:b/>
        </w:rPr>
        <w:t>Trace:</w:t>
      </w:r>
      <w:r>
        <w:t xml:space="preserve"> collect the set of SFIA levels each role name is paired with across all leaves; flag roles</w:t>
      </w:r>
    </w:p>
    <w:p>
      <w:pPr>
        <w:spacing w:after="80"/>
      </w:pPr>
      <w:r>
        <w:t>with &gt;1 distinct level.</w:t>
      </w:r>
    </w:p>
    <w:p>
      <w:pPr>
        <w:spacing w:after="80"/>
      </w:pPr>
      <w:r>
        <w:rPr>
          <w:b/>
        </w:rPr>
        <w:t>Evidence (examples):</w:t>
      </w:r>
      <w:r>
        <w:t xml:space="preserve"> *Platform Engineer* → SFIA 3/4/5/6; *Software Dev* → 3/4/5; *Service Desk</w:t>
      </w:r>
    </w:p>
    <w:p>
      <w:pPr>
        <w:spacing w:after="80"/>
      </w:pPr>
      <w:r>
        <w:t>Analyst* → 2/3/4; *Security Architect* → 4/5/6; *Service Management Controller* → 2/3.</w:t>
      </w:r>
    </w:p>
    <w:p>
      <w:pPr>
        <w:spacing w:after="80"/>
      </w:pPr>
      <w:r>
        <w:rPr>
          <w:b/>
        </w:rPr>
        <w:t>Impact:</w:t>
      </w:r>
      <w:r>
        <w:t xml:space="preserve"> mostly legitimate (seniority varies by task) but it prevents a clean role-rate roll-up and</w:t>
      </w:r>
    </w:p>
    <w:p>
      <w:pPr>
        <w:spacing w:after="80"/>
      </w:pPr>
      <w:r>
        <w:t>should be confirmed deliberate rather than data drift — especially where the same activity name uses</w:t>
      </w:r>
    </w:p>
    <w:p>
      <w:pPr>
        <w:spacing w:after="80"/>
      </w:pPr>
      <w:r>
        <w:t>different levels.</w:t>
      </w:r>
    </w:p>
    <w:p>
      <w:pPr>
        <w:spacing w:before="120" w:after="40"/>
      </w:pPr>
      <w:r>
        <w:rPr>
          <w:b/>
          <w:color w:val="2E5597"/>
          <w:sz w:val="24"/>
        </w:rPr>
        <w:t>4.8 🟡 Leaf task missing a Contract Year — 4 occurrences</w:t>
      </w:r>
    </w:p>
    <w:p>
      <w:pPr>
        <w:spacing w:after="80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B03030"/>
          <w:sz w:val="19"/>
        </w:rPr>
        <w:t>AIP on ACHE Site 1!R228</w:t>
      </w:r>
      <w:r>
        <w:t xml:space="preserve"> *Active Directory*; </w:t>
      </w:r>
      <w:r>
        <w:rPr>
          <w:rFonts w:ascii="Consolas" w:hAnsi="Consolas"/>
          <w:color w:val="B03030"/>
          <w:sz w:val="19"/>
        </w:rPr>
        <w:t>Service Management!R24</w:t>
      </w:r>
      <w:r>
        <w:t xml:space="preserve"> *Data Feeds*,</w:t>
      </w:r>
    </w:p>
    <w:p>
      <w:pPr>
        <w:spacing w:after="80"/>
      </w:pPr>
      <w:r>
        <w:rPr>
          <w:rFonts w:ascii="Consolas" w:hAnsi="Consolas"/>
          <w:color w:val="B03030"/>
          <w:sz w:val="19"/>
        </w:rPr>
        <w:t>R52</w:t>
      </w:r>
      <w:r>
        <w:t xml:space="preserve"> *Problem Reporting*, </w:t>
      </w:r>
      <w:r>
        <w:rPr>
          <w:rFonts w:ascii="Consolas" w:hAnsi="Consolas"/>
          <w:color w:val="B03030"/>
          <w:sz w:val="19"/>
        </w:rPr>
        <w:t>R140</w:t>
      </w:r>
      <w:r>
        <w:t xml:space="preserve"> *Problem Analysis &amp; Prioritisation*. These contribute the 33</w:t>
      </w:r>
    </w:p>
    <w:p>
      <w:pPr>
        <w:spacing w:after="80"/>
      </w:pPr>
      <w:r>
        <w:t xml:space="preserve">"untagged" days in §1.2. </w:t>
      </w:r>
      <w:r>
        <w:rPr>
          <w:b/>
        </w:rPr>
        <w:t>Fix:</w:t>
      </w:r>
      <w:r>
        <w:t xml:space="preserve"> set the Contract Year.</w:t>
      </w:r>
    </w:p>
    <w:p>
      <w:pPr>
        <w:spacing w:before="120" w:after="40"/>
      </w:pPr>
      <w:r>
        <w:rPr>
          <w:b/>
          <w:color w:val="2E5597"/>
          <w:sz w:val="24"/>
        </w:rPr>
        <w:t>4.9 🟡 Exact duplicate rows — 3 occurrences</w:t>
      </w:r>
    </w:p>
    <w:p>
      <w:pPr>
        <w:spacing w:after="80"/>
      </w:pPr>
      <w:r>
        <w:rPr>
          <w:b/>
        </w:rPr>
        <w:t>Trace:</w:t>
      </w:r>
      <w:r>
        <w:t xml:space="preserve"> hash all 24 columns of each leaf within a sheet; flag identical rows.</w:t>
      </w:r>
    </w:p>
    <w:p>
      <w:pPr>
        <w:spacing w:after="80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B03030"/>
          <w:sz w:val="19"/>
        </w:rPr>
        <w:t>Security Years 1-5</w:t>
      </w:r>
      <w:r>
        <w:t xml:space="preserve"> — R81=R61, R82=R62, R83=R63 (*ITHC - AIP on Site 2 / 3 / 1*). The</w:t>
      </w:r>
    </w:p>
    <w:p>
      <w:pPr>
        <w:spacing w:after="80"/>
      </w:pPr>
      <w:r>
        <w:t xml:space="preserve">ITHC block appears twice verbatim. </w:t>
      </w:r>
      <w:r>
        <w:rPr>
          <w:b/>
        </w:rPr>
        <w:t>Impact:</w:t>
      </w:r>
      <w:r>
        <w:t xml:space="preserve"> double-counts ITHC effort. </w:t>
      </w:r>
      <w:r>
        <w:rPr>
          <w:b/>
        </w:rPr>
        <w:t>Fix:</w:t>
      </w:r>
      <w:r>
        <w:t xml:space="preserve"> delete the</w:t>
      </w:r>
    </w:p>
    <w:p>
      <w:pPr>
        <w:spacing w:after="80"/>
      </w:pPr>
      <w:r>
        <w:t>duplicate set (or confirm the second instance belongs to a different year/site and differentiate it).</w:t>
      </w:r>
    </w:p>
    <w:p>
      <w:pPr>
        <w:spacing w:before="120" w:after="40"/>
      </w:pPr>
      <w:r>
        <w:rPr>
          <w:b/>
          <w:color w:val="2E5597"/>
          <w:sz w:val="24"/>
        </w:rPr>
        <w:t>4.10 Calibration note — checks tightened to remove false positives</w:t>
      </w:r>
    </w:p>
    <w:p>
      <w:pPr>
        <w:spacing w:after="80"/>
      </w:pPr>
      <w:r>
        <w:t>Two checks were deliberately narrowed so the published counts are trustworthy:</w:t>
      </w:r>
    </w:p>
    <w:p>
      <w:pPr>
        <w:pStyle w:val="ListBullet"/>
        <w:spacing w:after="20"/>
      </w:pPr>
      <w:r>
        <w:rPr>
          <w:b/>
        </w:rPr>
        <w:t>Contract Year:</w:t>
      </w:r>
      <w:r>
        <w:t xml:space="preserve"> an initial date-derived heuristic produced ~4,400 hits because build sheets start</w:t>
      </w:r>
    </w:p>
    <w:p>
      <w:pPr>
        <w:spacing w:after="80"/>
      </w:pPr>
      <w:r>
        <w:t xml:space="preserve">off-cycle (Aug) and year boundaries vary. Replaced with the </w:t>
      </w:r>
      <w:r>
        <w:rPr>
          <w:b/>
        </w:rPr>
        <w:t>block-header</w:t>
      </w:r>
      <w:r>
        <w:t xml:space="preserve"> comparison → </w:t>
      </w:r>
      <w:r>
        <w:rPr>
          <w:b/>
        </w:rPr>
        <w:t>19</w:t>
      </w:r>
      <w:r>
        <w:t xml:space="preserve"> real</w:t>
      </w:r>
    </w:p>
    <w:p>
      <w:pPr>
        <w:spacing w:after="80"/>
      </w:pPr>
      <w:r>
        <w:t>hits (4.4).</w:t>
      </w:r>
    </w:p>
    <w:p>
      <w:pPr>
        <w:pStyle w:val="ListBullet"/>
        <w:spacing w:after="20"/>
      </w:pPr>
      <w:r>
        <w:rPr>
          <w:b/>
        </w:rPr>
        <w:t>Duplicates:</w:t>
      </w:r>
      <w:r>
        <w:t xml:space="preserve"> a partial-key match flagged ~1,540 rows that are legitimately repeated per-tool</w:t>
      </w:r>
    </w:p>
    <w:p>
      <w:pPr>
        <w:spacing w:after="80"/>
      </w:pPr>
      <w:r>
        <w:t xml:space="preserve">maintenance lines. Replaced with </w:t>
      </w:r>
      <w:r>
        <w:rPr>
          <w:b/>
        </w:rPr>
        <w:t>all-24-columns-identical</w:t>
      </w:r>
      <w:r>
        <w:t xml:space="preserve"> → </w:t>
      </w:r>
      <w:r>
        <w:rPr>
          <w:b/>
        </w:rPr>
        <w:t>3</w:t>
      </w:r>
      <w:r>
        <w:t xml:space="preserve"> real duplicates (4.9).</w:t>
      </w:r>
    </w:p>
    <w:p>
      <w:pPr>
        <w:spacing w:before="120" w:after="40"/>
      </w:pPr>
      <w:r>
        <w:rPr>
          <w:b/>
          <w:color w:val="2E5597"/>
          <w:sz w:val="24"/>
        </w:rPr>
        <w:t>4.11 Checks that passed cleanly (negative results worth recording)</w:t>
      </w:r>
    </w:p>
    <w:p>
      <w:pPr>
        <w:pStyle w:val="ListBullet"/>
        <w:spacing w:after="20"/>
      </w:pPr>
      <w:r>
        <w:t xml:space="preserve">PERT estimate vs </w:t>
      </w:r>
      <w:r>
        <w:rPr>
          <w:rFonts w:ascii="Consolas" w:hAnsi="Consolas"/>
          <w:color w:val="B03030"/>
          <w:sz w:val="19"/>
        </w:rPr>
        <w:t>(O+4ML+P)/6</w:t>
      </w:r>
      <w:r>
        <w:t xml:space="preserve"> — </w:t>
      </w:r>
      <w:r>
        <w:rPr>
          <w:b/>
        </w:rPr>
        <w:t>0</w:t>
      </w:r>
      <w:r>
        <w:t xml:space="preserve"> breaches.</w:t>
      </w:r>
    </w:p>
    <w:p>
      <w:pPr>
        <w:pStyle w:val="ListBullet"/>
        <w:spacing w:after="20"/>
      </w:pPr>
      <w:r>
        <w:t xml:space="preserve">Annual Effort (Days) vs </w:t>
      </w:r>
      <w:r>
        <w:rPr>
          <w:rFonts w:ascii="Consolas" w:hAnsi="Consolas"/>
          <w:color w:val="B03030"/>
          <w:sz w:val="19"/>
        </w:rPr>
        <w:t>Estimate × multiplier</w:t>
      </w:r>
      <w:r>
        <w:t xml:space="preserve"> — </w:t>
      </w:r>
      <w:r>
        <w:rPr>
          <w:b/>
        </w:rPr>
        <w:t>0</w:t>
      </w:r>
      <w:r>
        <w:t xml:space="preserve"> breaches.</w:t>
      </w:r>
    </w:p>
    <w:p>
      <w:pPr>
        <w:pStyle w:val="ListBullet"/>
        <w:spacing w:after="20"/>
      </w:pPr>
      <w:r>
        <w:t xml:space="preserve">Annual Effort (% FTE) vs </w:t>
      </w:r>
      <w:r>
        <w:rPr>
          <w:rFonts w:ascii="Consolas" w:hAnsi="Consolas"/>
          <w:color w:val="B03030"/>
          <w:sz w:val="19"/>
        </w:rPr>
        <w:t>Days / 220</w:t>
      </w:r>
      <w:r>
        <w:t xml:space="preserve"> — </w:t>
      </w:r>
      <w:r>
        <w:rPr>
          <w:b/>
        </w:rPr>
        <w:t>0</w:t>
      </w:r>
      <w:r>
        <w:t xml:space="preserve"> breaches.</w:t>
      </w:r>
    </w:p>
    <w:p>
      <w:pPr>
        <w:pStyle w:val="ListBullet"/>
        <w:spacing w:after="20"/>
      </w:pPr>
      <w:r>
        <w:t xml:space="preserve">Three-point ordering </w:t>
      </w:r>
      <w:r>
        <w:rPr>
          <w:rFonts w:ascii="Consolas" w:hAnsi="Consolas"/>
          <w:color w:val="B03030"/>
          <w:sz w:val="19"/>
        </w:rPr>
        <w:t>O ≤ ML ≤ P</w:t>
      </w:r>
      <w:r>
        <w:t xml:space="preserve"> — </w:t>
      </w:r>
      <w:r>
        <w:rPr>
          <w:b/>
        </w:rPr>
        <w:t>0</w:t>
      </w:r>
      <w:r>
        <w:t xml:space="preserve"> breaches.</w:t>
      </w:r>
    </w:p>
    <w:p>
      <w:pPr>
        <w:pStyle w:val="ListBullet"/>
        <w:spacing w:after="20"/>
      </w:pPr>
      <w:r>
        <w:t xml:space="preserve">Unknown/blank frequencies — </w:t>
      </w:r>
      <w:r>
        <w:rPr>
          <w:b/>
        </w:rPr>
        <w:t>0</w:t>
      </w:r>
      <w:r>
        <w:t xml:space="preserve"> (every Frequency resolves against the </w:t>
      </w:r>
      <w:r>
        <w:rPr>
          <w:rFonts w:ascii="Consolas" w:hAnsi="Consolas"/>
          <w:color w:val="B03030"/>
          <w:sz w:val="19"/>
        </w:rPr>
        <w:t>Mapping</w:t>
      </w:r>
      <w:r>
        <w:t xml:space="preserve"> tab).</w:t>
      </w:r>
    </w:p>
    <w:p>
      <w:pPr>
        <w:pStyle w:val="ListBullet"/>
        <w:spacing w:after="20"/>
      </w:pPr>
      <w:r>
        <w:t xml:space="preserve">Roles absent from the master list — </w:t>
      </w:r>
      <w:r>
        <w:rPr>
          <w:b/>
        </w:rPr>
        <w:t>0</w:t>
      </w:r>
      <w:r>
        <w:t xml:space="preserve"> (every role used exists in </w:t>
      </w:r>
      <w:r>
        <w:rPr>
          <w:rFonts w:ascii="Consolas" w:hAnsi="Consolas"/>
          <w:color w:val="B03030"/>
          <w:sz w:val="19"/>
        </w:rPr>
        <w:t>Roles &amp; SFIA</w:t>
      </w:r>
      <w:r>
        <w:t>).</w:t>
      </w:r>
    </w:p>
    <w:p>
      <w:pPr>
        <w:spacing w:after="0"/>
      </w:pPr>
    </w:p>
    <w:p>
      <w:pPr>
        <w:pBdr>
          <w:bottom w:val="single" w:sz="6" w:space="2" w:color="1F3864"/>
        </w:pBdr>
        <w:spacing w:before="160" w:after="80"/>
      </w:pPr>
      <w:r>
        <w:rPr>
          <w:b/>
          <w:color w:val="1F3864"/>
          <w:sz w:val="30"/>
        </w:rPr>
        <w:t>5. Prioritised remediation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412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412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Addresses</w:t>
            </w:r>
          </w:p>
        </w:tc>
        <w:tc>
          <w:tcPr>
            <w:tcW w:type="dxa" w:w="2412"/>
            <w:shd w:val="clear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Effort</w:t>
            </w:r>
          </w:p>
        </w:tc>
      </w:tr>
      <w:tr>
        <w:tc>
          <w:tcPr>
            <w:tcW w:type="dxa" w:w="2412"/>
            <w:shd w:val="clear" w:fill="F4CCCC"/>
          </w:tcPr>
          <w:p>
            <w:pPr>
              <w:spacing w:after="40" w:before="40"/>
            </w:pPr>
            <w:r/>
            <w:r>
              <w:t>1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Fix the 2 end-before-start dates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4.1 (High)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Trivial</w:t>
            </w:r>
          </w:p>
        </w:tc>
      </w:tr>
      <w:tr>
        <w:tc>
          <w:tcPr>
            <w:tcW w:type="dxa" w:w="2412"/>
            <w:shd w:val="clear" w:fill="FFF2CC"/>
          </w:tcPr>
          <w:p>
            <w:pPr>
              <w:spacing w:after="40" w:before="40"/>
            </w:pPr>
            <w:r/>
            <w:r>
              <w:t>2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Convert text dates → real dates on the 9 sheets; fix the 1 stray DLZ cell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4.2 (4,696)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Low (bulk)</w:t>
            </w:r>
          </w:p>
        </w:tc>
      </w:tr>
      <w:tr>
        <w:tc>
          <w:tcPr>
            <w:tcW w:type="dxa" w:w="2412"/>
            <w:shd w:val="clear" w:fill="FCE5CD"/>
          </w:tcPr>
          <w:p>
            <w:pPr>
              <w:spacing w:after="40" w:before="40"/>
            </w:pPr>
            <w:r/>
            <w:r>
              <w:t>3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Reconcile Total FTE vs named roles, starting with AIP Build (153 rows)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4.3 (308)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Medium — needs planner input</w:t>
            </w:r>
          </w:p>
        </w:tc>
      </w:tr>
      <w:tr>
        <w:tc>
          <w:tcPr>
            <w:tcW w:type="dxa" w:w="2412"/>
            <w:shd w:val="clear" w:fill="FFF2CC"/>
          </w:tcPr>
          <w:p>
            <w:pPr>
              <w:spacing w:after="40" w:before="40"/>
            </w:pPr>
            <w:r/>
            <w:r>
              <w:t>4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Re-tag the 19 mis-yeared rows + 4 missing-year rows to their block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4.4 / 4.8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Low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t>5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Resolve the 5 over-1-FTE Security Architect lines (add resource or re-scope)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4.5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Decision</w:t>
            </w:r>
          </w:p>
        </w:tc>
      </w:tr>
      <w:tr>
        <w:tc>
          <w:tcPr>
            <w:tcW w:type="dxa" w:w="2412"/>
            <w:shd w:val="clear" w:fill="FCE5CD"/>
          </w:tcPr>
          <w:p>
            <w:pPr>
              <w:spacing w:after="40" w:before="40"/>
            </w:pPr>
            <w:r/>
            <w:r>
              <w:t>6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 xml:space="preserve">Rebuild </w:t>
            </w:r>
            <w:r>
              <w:rPr>
                <w:rFonts w:ascii="Consolas" w:hAnsi="Consolas"/>
                <w:color w:val="B03030"/>
                <w:sz w:val="19"/>
              </w:rPr>
              <w:t>Roles &amp; SFIA</w:t>
            </w:r>
            <w:r>
              <w:t xml:space="preserve"> / </w:t>
            </w:r>
            <w:r>
              <w:rPr>
                <w:rFonts w:ascii="Consolas" w:hAnsi="Consolas"/>
                <w:color w:val="B03030"/>
                <w:sz w:val="19"/>
              </w:rPr>
              <w:t>Overview</w:t>
            </w:r>
            <w:r>
              <w:t xml:space="preserve"> roll-ups from the live WBS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4.6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Medium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t>7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Remove the 3 duplicate ITHC rows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4.9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Trivial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t>8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Confirm intended SFIA levels per role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4.7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t>Review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</w:rPr>
        <w:t>Bottom line:</w:t>
      </w:r>
      <w:r>
        <w:t xml:space="preserve"> the model's maths is solid, but the plan is </w:t>
      </w:r>
      <w:r>
        <w:rPr>
          <w:b/>
        </w:rPr>
        <w:t>not yet decision-ready</w:t>
      </w:r>
      <w:r>
        <w:t>. The text-date</w:t>
      </w:r>
    </w:p>
    <w:p>
      <w:pPr>
        <w:spacing w:after="80"/>
      </w:pPr>
      <w:r>
        <w:t>typing (4.2), the 308 Total-FTE/role discrepancies (4.3), and the stale roll-up tabs (4.6) mean any</w:t>
      </w:r>
    </w:p>
    <w:p>
      <w:pPr>
        <w:spacing w:after="80"/>
      </w:pPr>
      <w:r>
        <w:t>headcount, cost, or timeline figure read straight from the workbook today will be wrong. Items 1–4 and</w:t>
      </w:r>
    </w:p>
    <w:p>
      <w:pPr>
        <w:spacing w:after="80"/>
      </w:pPr>
      <w:r>
        <w:t>7 are quick mechanical fixes; items 3, 5 and 6 need a planner's decision before the 304-FTE / 41,452-day</w:t>
      </w:r>
    </w:p>
    <w:p>
      <w:pPr>
        <w:spacing w:after="80"/>
      </w:pPr>
      <w:r>
        <w:t>totals can be trusted.</w:t>
      </w:r>
    </w:p>
    <w:p>
      <w:pPr>
        <w:spacing w:after="80"/>
      </w:pPr>
      <w:r>
        <w:t xml:space="preserve">*Full line-by-line issue list: </w:t>
      </w:r>
      <w:r>
        <w:rPr>
          <w:rFonts w:ascii="Consolas" w:hAnsi="Consolas"/>
          <w:color w:val="B03030"/>
          <w:sz w:val="19"/>
        </w:rPr>
        <w:t>N2C_WBS_Issues_Register.xlsx</w:t>
      </w:r>
      <w:r>
        <w:t xml:space="preserve"> (Issue List tab) and </w:t>
      </w:r>
      <w:r>
        <w:rPr>
          <w:rFonts w:ascii="Consolas" w:hAnsi="Consolas"/>
          <w:color w:val="B03030"/>
          <w:sz w:val="19"/>
        </w:rPr>
        <w:t>N2C_WBS_Issues_List.csv</w:t>
      </w:r>
      <w:r>
        <w:t>.</w:t>
      </w:r>
    </w:p>
    <w:p>
      <w:pPr>
        <w:spacing w:after="80"/>
      </w:pPr>
      <w:r>
        <w:t xml:space="preserve">Re-run </w:t>
      </w:r>
      <w:r>
        <w:rPr>
          <w:rFonts w:ascii="Consolas" w:hAnsi="Consolas"/>
          <w:color w:val="B03030"/>
          <w:sz w:val="19"/>
        </w:rPr>
        <w:t>analysis/audit.py</w:t>
      </w:r>
      <w:r>
        <w:t xml:space="preserve"> against the source workbook to regenerate every figure in this report.*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