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Cash and Time-Off Award Justification</w:t>
      </w:r>
    </w:p>
    <w:p>
      <w:pPr>
        <w:spacing w:after="360"/>
        <w:jc w:val="center"/>
      </w:pPr>
      <w:r>
        <w:rPr>
          <w:rFonts w:ascii="Arial" w:cs="Arial" w:eastAsia="Arial" w:hAnsi="Arial"/>
          <w:i/>
          <w:iCs/>
          <w:sz w:val="24"/>
          <w:szCs w:val="24"/>
        </w:rPr>
        <w:t xml:space="preserve">Bishal Khanal — Innovative Solutions Division (ISD), OFOM/OFA</w:t>
      </w:r>
    </w:p>
    <w:p>
      <w:pPr>
        <w:spacing w:after="240" w:line="300"/>
        <w:jc w:val="both"/>
      </w:pPr>
      <w:r>
        <w:rPr>
          <w:rFonts w:ascii="Arial" w:cs="Arial" w:eastAsia="Arial" w:hAnsi="Arial"/>
          <w:sz w:val="24"/>
          <w:szCs w:val="24"/>
        </w:rPr>
        <w:t xml:space="preserve">This award recognizes the outstanding efforts of Bishal Khanal in advancing the Innovative Solutions Division’s adoption of artificial intelligence while continuing to support critical legacy applications, Oracle SOA Suite middleware, financial batch jobs, and ongoing security/CVE remediation. Over the past year, Bishal researched and evaluated AWS AI/ML services, developed end-to-end architecture designs identifying the tools, data flows, integration points, and governance considerations needed to introduce AI into ISD’s financial operations, and designed and built a Financial ChatBot solution that combines Text-to-SQL queries against financial data with retrieval-augmented generation across agency documents. He also partnered with the OMB team to deliver a working Risk Assessment Tool prototype in Python and FastAPI, and authored a 34-course AWS Skill Builder learning path covering Python, AWS cloud foundations, generative AI/RAG, and AI agents to help prepare the broader ISD team to participate in and sustain this work. These efforts, demonstrated to leadership and used to guide ISD’s AI planning and skill development, establish a practical foundation for reducing manual data lookup, document review, and repetitive analysis across OFOM. His contributions directly support the EPA Administrator’s fourth pillar of making the United States the Artificial Intelligence capital of the world by helping OFOM and OFA apply AI responsibly and practically in support of federal financial operations.</w:t>
      </w:r>
    </w:p>
    <w:p>
      <w:pPr>
        <w:spacing w:after="240" w:line="300"/>
        <w:jc w:val="both"/>
      </w:pPr>
      <w:r>
        <w:rPr>
          <w:rFonts w:ascii="Arial" w:cs="Arial" w:eastAsia="Arial" w:hAnsi="Arial"/>
          <w:sz w:val="24"/>
          <w:szCs w:val="24"/>
        </w:rPr>
        <w:t xml:space="preserve">This award also recognizes Bishal’s leadership in modernization and automation across ISD’s portfolio, delivered alongside his ongoing production support responsibilities. He initiated and shaped the modernization approach for the legacy Access Request Form application by researching current technology stack options and delivering the target architecture and end-to-end workflow design needed to replace an aging application with known security and CVE exposure. In parallel, he partnered with OCO to eliminate their manual monthly DATA Act reconciliation process by building a self-service automation that performs the reconciliation end-to-end in seconds, reducing manual effort and removing a recurring source of human error in financial reporting. Together, these contributions strengthen operational efficiency, improve the reliability and security of internal systems, reduce dependence on manual workarounds, and help redirect staff time toward higher-value financial analysis and mission-support activities. This work reflects strong stewardship of taxpayer dollars, reinforces the EPA Administrator’s third pillar of cross-agency partnership through direct collaboration with OCO and agency stakeholders, and supports EPA’s mission by ensuring that the systems behind financial operations are modern, reliable, and better positioned to support the protection of human health and the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2026-05-21T12:32:40.082Z</dcterms:created>
  <dcterms:modified xsi:type="dcterms:W3CDTF">2026-05-21T12:32:40.100Z</dcterms:modified>
</cp:coreProperties>
</file>

<file path=docProps/custom.xml><?xml version="1.0" encoding="utf-8"?>
<Properties xmlns="http://schemas.openxmlformats.org/officeDocument/2006/custom-properties" xmlns:vt="http://schemas.openxmlformats.org/officeDocument/2006/docPropsVTypes"/>
</file>